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11F38" w14:textId="77777777" w:rsidR="00FF7115" w:rsidRPr="00877AFB" w:rsidRDefault="00FF7115" w:rsidP="00FF7115">
      <w:pPr>
        <w:spacing w:after="0" w:line="240" w:lineRule="auto"/>
        <w:jc w:val="both"/>
        <w:rPr>
          <w:rFonts w:ascii="Times New Roman" w:hAnsi="Times New Roman" w:cs="Times New Roman"/>
          <w:b/>
          <w:sz w:val="32"/>
          <w:szCs w:val="32"/>
        </w:rPr>
      </w:pPr>
      <w:r w:rsidRPr="00877AFB">
        <w:rPr>
          <w:rFonts w:ascii="Times New Roman" w:hAnsi="Times New Roman" w:cs="Times New Roman"/>
          <w:b/>
          <w:sz w:val="32"/>
          <w:szCs w:val="32"/>
        </w:rPr>
        <w:t xml:space="preserve">      </w:t>
      </w:r>
    </w:p>
    <w:p w14:paraId="0C211F39" w14:textId="77777777" w:rsidR="00FF7115" w:rsidRPr="00877AFB" w:rsidRDefault="00FF7115" w:rsidP="00FF7115">
      <w:pPr>
        <w:spacing w:after="0" w:line="240" w:lineRule="auto"/>
        <w:jc w:val="both"/>
        <w:rPr>
          <w:rFonts w:ascii="Times New Roman" w:hAnsi="Times New Roman" w:cs="Times New Roman"/>
          <w:b/>
          <w:sz w:val="32"/>
          <w:szCs w:val="32"/>
        </w:rPr>
      </w:pPr>
      <w:r w:rsidRPr="00877AFB">
        <w:rPr>
          <w:rFonts w:ascii="Times New Roman" w:hAnsi="Times New Roman" w:cs="Times New Roman"/>
          <w:b/>
          <w:sz w:val="32"/>
          <w:szCs w:val="32"/>
        </w:rPr>
        <w:t xml:space="preserve">     </w:t>
      </w:r>
    </w:p>
    <w:p w14:paraId="0C211F3A" w14:textId="77777777" w:rsidR="00A57A2B" w:rsidRPr="00203E5D" w:rsidRDefault="00877AFB" w:rsidP="00A57A2B">
      <w:pPr>
        <w:spacing w:after="0" w:line="240" w:lineRule="auto"/>
        <w:jc w:val="center"/>
        <w:rPr>
          <w:rFonts w:ascii="Times New Roman" w:hAnsi="Times New Roman"/>
          <w:sz w:val="28"/>
          <w:szCs w:val="28"/>
        </w:rPr>
      </w:pPr>
      <w:r>
        <w:rPr>
          <w:rFonts w:ascii="Times New Roman" w:hAnsi="Times New Roman" w:cs="Times New Roman"/>
          <w:b/>
          <w:sz w:val="32"/>
          <w:szCs w:val="32"/>
        </w:rPr>
        <w:t xml:space="preserve">          </w:t>
      </w:r>
      <w:r w:rsidR="00FF7115" w:rsidRPr="00877AFB">
        <w:rPr>
          <w:rFonts w:ascii="Times New Roman" w:hAnsi="Times New Roman" w:cs="Times New Roman"/>
          <w:b/>
          <w:sz w:val="32"/>
          <w:szCs w:val="32"/>
        </w:rPr>
        <w:t xml:space="preserve"> </w:t>
      </w:r>
      <w:bookmarkStart w:id="0" w:name="_Hlk181032751"/>
      <w:bookmarkEnd w:id="0"/>
      <w:r w:rsidR="00A57A2B" w:rsidRPr="00203E5D">
        <w:rPr>
          <w:rFonts w:ascii="Times New Roman" w:hAnsi="Times New Roman"/>
          <w:sz w:val="28"/>
          <w:szCs w:val="28"/>
        </w:rPr>
        <w:t>НЕКОММЕРЧЕСКОЕ АКЦИОНЕРНОЕ ОБЩЕСТВО</w:t>
      </w:r>
    </w:p>
    <w:p w14:paraId="0C211F3B" w14:textId="77777777" w:rsidR="00A57A2B" w:rsidRPr="00203E5D" w:rsidRDefault="00A57A2B" w:rsidP="00A57A2B">
      <w:pPr>
        <w:spacing w:after="0" w:line="240" w:lineRule="auto"/>
        <w:jc w:val="center"/>
        <w:rPr>
          <w:rFonts w:ascii="Times New Roman" w:hAnsi="Times New Roman"/>
          <w:sz w:val="28"/>
          <w:szCs w:val="28"/>
        </w:rPr>
      </w:pPr>
      <w:r w:rsidRPr="00203E5D">
        <w:rPr>
          <w:rFonts w:ascii="Times New Roman" w:hAnsi="Times New Roman"/>
          <w:sz w:val="28"/>
          <w:szCs w:val="28"/>
        </w:rPr>
        <w:t>«КАРАГАНДИНСКИЙ МЕДИЦИНСКИЙ УНИВЕРСИТЕТ»</w:t>
      </w:r>
    </w:p>
    <w:p w14:paraId="0C211F3C" w14:textId="77777777" w:rsidR="00A57A2B" w:rsidRPr="00203E5D" w:rsidRDefault="00A57A2B" w:rsidP="00A57A2B">
      <w:pPr>
        <w:spacing w:after="0" w:line="240" w:lineRule="auto"/>
        <w:ind w:left="-51" w:firstLine="51"/>
        <w:contextualSpacing/>
        <w:jc w:val="center"/>
        <w:rPr>
          <w:rFonts w:ascii="Times New Roman" w:eastAsia="Times New Roman" w:hAnsi="Times New Roman"/>
          <w:b/>
          <w:sz w:val="28"/>
          <w:szCs w:val="28"/>
        </w:rPr>
      </w:pPr>
    </w:p>
    <w:p w14:paraId="0C211F3D" w14:textId="77777777" w:rsidR="00FF7115" w:rsidRPr="00877AFB" w:rsidRDefault="00FF7115" w:rsidP="00FF7115">
      <w:pPr>
        <w:spacing w:after="0" w:line="240" w:lineRule="auto"/>
        <w:jc w:val="both"/>
        <w:rPr>
          <w:rFonts w:ascii="Times New Roman" w:hAnsi="Times New Roman" w:cs="Times New Roman"/>
          <w:b/>
          <w:sz w:val="32"/>
          <w:szCs w:val="32"/>
        </w:rPr>
      </w:pPr>
    </w:p>
    <w:p w14:paraId="0C211F3E" w14:textId="77777777" w:rsidR="00FF7115" w:rsidRPr="00877AFB" w:rsidRDefault="00FF7115" w:rsidP="00FF7115">
      <w:pPr>
        <w:spacing w:after="0" w:line="240" w:lineRule="auto"/>
        <w:jc w:val="both"/>
        <w:rPr>
          <w:rFonts w:ascii="Times New Roman" w:hAnsi="Times New Roman" w:cs="Times New Roman"/>
          <w:b/>
          <w:sz w:val="32"/>
          <w:szCs w:val="32"/>
        </w:rPr>
      </w:pPr>
      <w:r w:rsidRPr="00877AFB">
        <w:rPr>
          <w:rFonts w:ascii="Times New Roman" w:hAnsi="Times New Roman" w:cs="Times New Roman"/>
          <w:b/>
          <w:sz w:val="32"/>
          <w:szCs w:val="32"/>
        </w:rPr>
        <w:t xml:space="preserve"> </w:t>
      </w:r>
    </w:p>
    <w:p w14:paraId="0C211F3F" w14:textId="77777777" w:rsidR="00A57A2B" w:rsidRPr="00203E5D" w:rsidRDefault="00A57A2B" w:rsidP="00A57A2B">
      <w:pPr>
        <w:spacing w:after="0" w:line="240" w:lineRule="auto"/>
        <w:ind w:left="-51" w:firstLine="51"/>
        <w:contextualSpacing/>
        <w:jc w:val="center"/>
        <w:rPr>
          <w:rFonts w:ascii="Times New Roman" w:eastAsia="Times New Roman" w:hAnsi="Times New Roman"/>
          <w:b/>
          <w:sz w:val="28"/>
          <w:szCs w:val="28"/>
        </w:rPr>
      </w:pPr>
    </w:p>
    <w:p w14:paraId="0C211F40" w14:textId="77777777" w:rsidR="00A57A2B" w:rsidRPr="00203E5D" w:rsidRDefault="00A57A2B" w:rsidP="00A57A2B">
      <w:pPr>
        <w:spacing w:after="0" w:line="240" w:lineRule="auto"/>
        <w:ind w:firstLine="51"/>
        <w:contextualSpacing/>
        <w:jc w:val="center"/>
        <w:rPr>
          <w:rFonts w:ascii="Times New Roman" w:eastAsia="Times New Roman" w:hAnsi="Times New Roman"/>
          <w:b/>
          <w:sz w:val="28"/>
          <w:szCs w:val="28"/>
        </w:rPr>
      </w:pPr>
      <w:r w:rsidRPr="00203E5D">
        <w:rPr>
          <w:rFonts w:ascii="Times New Roman" w:eastAsia="Times New Roman" w:hAnsi="Times New Roman"/>
          <w:b/>
          <w:sz w:val="28"/>
          <w:szCs w:val="28"/>
        </w:rPr>
        <w:t>АННОТАЦИЯ</w:t>
      </w:r>
    </w:p>
    <w:p w14:paraId="0C211F41" w14:textId="77777777" w:rsidR="00A57A2B" w:rsidRPr="00A57A2B" w:rsidRDefault="00A57A2B" w:rsidP="00A57A2B">
      <w:pPr>
        <w:spacing w:after="0" w:line="240" w:lineRule="auto"/>
        <w:jc w:val="center"/>
        <w:rPr>
          <w:rFonts w:ascii="Times New Roman" w:hAnsi="Times New Roman" w:cs="Times New Roman"/>
          <w:b/>
          <w:sz w:val="28"/>
          <w:szCs w:val="28"/>
        </w:rPr>
      </w:pPr>
      <w:r w:rsidRPr="00203E5D">
        <w:rPr>
          <w:rFonts w:ascii="Times New Roman" w:eastAsia="Times New Roman" w:hAnsi="Times New Roman"/>
          <w:sz w:val="28"/>
          <w:szCs w:val="28"/>
        </w:rPr>
        <w:t>диссертационной работы на соискание ученой степени доктора философии на тему:</w:t>
      </w:r>
      <w:r w:rsidRPr="00203E5D">
        <w:rPr>
          <w:rFonts w:ascii="Times New Roman" w:hAnsi="Times New Roman"/>
          <w:sz w:val="28"/>
          <w:szCs w:val="28"/>
        </w:rPr>
        <w:t xml:space="preserve"> «</w:t>
      </w:r>
      <w:r w:rsidRPr="00A57A2B">
        <w:rPr>
          <w:rFonts w:ascii="Times New Roman" w:hAnsi="Times New Roman" w:cs="Times New Roman"/>
          <w:sz w:val="28"/>
          <w:szCs w:val="28"/>
        </w:rPr>
        <w:t>Оценка биохимических параметров, цитокинового профиля и микробиома кишечника у пациентов с болезнью Альцгеймера</w:t>
      </w:r>
      <w:r w:rsidRPr="00203E5D">
        <w:rPr>
          <w:rFonts w:ascii="Times New Roman" w:hAnsi="Times New Roman"/>
          <w:sz w:val="28"/>
          <w:szCs w:val="28"/>
        </w:rPr>
        <w:t>».</w:t>
      </w:r>
      <w:r w:rsidRPr="00203E5D">
        <w:rPr>
          <w:rFonts w:ascii="Times New Roman" w:eastAsia="Times New Roman" w:hAnsi="Times New Roman"/>
          <w:sz w:val="28"/>
          <w:szCs w:val="28"/>
        </w:rPr>
        <w:t xml:space="preserve"> </w:t>
      </w:r>
    </w:p>
    <w:p w14:paraId="0C211F42" w14:textId="77777777" w:rsidR="00A57A2B" w:rsidRPr="00203E5D" w:rsidRDefault="00A57A2B" w:rsidP="00A57A2B">
      <w:pPr>
        <w:spacing w:after="0" w:line="240" w:lineRule="auto"/>
        <w:ind w:left="-51" w:firstLine="51"/>
        <w:contextualSpacing/>
        <w:jc w:val="center"/>
        <w:rPr>
          <w:rFonts w:ascii="Times New Roman" w:eastAsia="Times New Roman" w:hAnsi="Times New Roman"/>
          <w:b/>
          <w:sz w:val="28"/>
          <w:szCs w:val="28"/>
        </w:rPr>
      </w:pPr>
    </w:p>
    <w:p w14:paraId="0C211F43" w14:textId="77777777" w:rsidR="00A57A2B" w:rsidRPr="00203E5D" w:rsidRDefault="00A57A2B" w:rsidP="00A57A2B">
      <w:pPr>
        <w:spacing w:after="0" w:line="240" w:lineRule="auto"/>
        <w:ind w:left="-51" w:firstLine="51"/>
        <w:contextualSpacing/>
        <w:jc w:val="center"/>
        <w:rPr>
          <w:rFonts w:ascii="Times New Roman" w:eastAsia="Times New Roman" w:hAnsi="Times New Roman"/>
          <w:b/>
          <w:sz w:val="28"/>
          <w:szCs w:val="28"/>
        </w:rPr>
      </w:pPr>
    </w:p>
    <w:p w14:paraId="0C211F44" w14:textId="77777777" w:rsidR="00A57A2B" w:rsidRPr="00203E5D" w:rsidRDefault="00A57A2B" w:rsidP="00A57A2B">
      <w:pPr>
        <w:spacing w:after="0" w:line="240" w:lineRule="auto"/>
        <w:ind w:left="-51" w:firstLine="51"/>
        <w:contextualSpacing/>
        <w:jc w:val="center"/>
        <w:rPr>
          <w:rFonts w:ascii="Times New Roman" w:eastAsia="Times New Roman" w:hAnsi="Times New Roman"/>
          <w:b/>
          <w:sz w:val="28"/>
          <w:szCs w:val="28"/>
        </w:rPr>
      </w:pPr>
    </w:p>
    <w:p w14:paraId="0C211F45" w14:textId="77777777" w:rsidR="00A57A2B" w:rsidRPr="00203E5D" w:rsidRDefault="00A57A2B" w:rsidP="00A57A2B">
      <w:pPr>
        <w:spacing w:after="0" w:line="240" w:lineRule="auto"/>
        <w:ind w:right="601"/>
        <w:contextualSpacing/>
        <w:jc w:val="both"/>
        <w:rPr>
          <w:rFonts w:ascii="Times New Roman" w:eastAsia="Times New Roman" w:hAnsi="Times New Roman"/>
          <w:sz w:val="28"/>
          <w:szCs w:val="28"/>
        </w:rPr>
      </w:pPr>
    </w:p>
    <w:p w14:paraId="0C211F46" w14:textId="77777777" w:rsidR="00A57A2B" w:rsidRPr="00203E5D" w:rsidRDefault="00A57A2B" w:rsidP="00A57A2B">
      <w:pPr>
        <w:spacing w:after="0" w:line="240" w:lineRule="auto"/>
        <w:ind w:right="601"/>
        <w:contextualSpacing/>
        <w:jc w:val="both"/>
        <w:rPr>
          <w:rFonts w:ascii="Times New Roman" w:eastAsia="Times New Roman" w:hAnsi="Times New Roman"/>
          <w:sz w:val="28"/>
          <w:szCs w:val="28"/>
        </w:rPr>
      </w:pPr>
    </w:p>
    <w:p w14:paraId="0C211F47" w14:textId="77777777" w:rsidR="00A57A2B" w:rsidRPr="00203E5D" w:rsidRDefault="00A57A2B" w:rsidP="00A57A2B">
      <w:pPr>
        <w:spacing w:after="0" w:line="240" w:lineRule="auto"/>
        <w:ind w:right="601"/>
        <w:contextualSpacing/>
        <w:jc w:val="both"/>
        <w:rPr>
          <w:rFonts w:ascii="Times New Roman" w:eastAsia="Times New Roman" w:hAnsi="Times New Roman"/>
          <w:sz w:val="28"/>
          <w:szCs w:val="28"/>
        </w:rPr>
      </w:pPr>
    </w:p>
    <w:p w14:paraId="0C211F48" w14:textId="77777777" w:rsidR="00A57A2B" w:rsidRPr="00203E5D" w:rsidRDefault="00F556A6" w:rsidP="00A57A2B">
      <w:pPr>
        <w:tabs>
          <w:tab w:val="left" w:pos="284"/>
        </w:tabs>
        <w:spacing w:line="240" w:lineRule="auto"/>
        <w:contextualSpacing/>
        <w:rPr>
          <w:rFonts w:ascii="Times New Roman" w:eastAsia="Times New Roman" w:hAnsi="Times New Roman"/>
          <w:sz w:val="28"/>
          <w:szCs w:val="28"/>
        </w:rPr>
      </w:pPr>
      <w:r>
        <w:rPr>
          <w:rFonts w:ascii="Times New Roman" w:eastAsia="Times New Roman" w:hAnsi="Times New Roman"/>
          <w:sz w:val="28"/>
          <w:szCs w:val="28"/>
        </w:rPr>
        <w:t>Специальность: 8D1</w:t>
      </w:r>
      <w:r w:rsidR="00A57A2B" w:rsidRPr="00203E5D">
        <w:rPr>
          <w:rFonts w:ascii="Times New Roman" w:eastAsia="Times New Roman" w:hAnsi="Times New Roman"/>
          <w:sz w:val="28"/>
          <w:szCs w:val="28"/>
        </w:rPr>
        <w:t>0100 Медицина</w:t>
      </w:r>
    </w:p>
    <w:p w14:paraId="0C211F49" w14:textId="77777777" w:rsidR="00A57A2B" w:rsidRPr="00A57A2B" w:rsidRDefault="00A57A2B" w:rsidP="00A57A2B">
      <w:pPr>
        <w:spacing w:after="0" w:line="240" w:lineRule="auto"/>
        <w:ind w:right="601"/>
        <w:contextualSpacing/>
        <w:jc w:val="both"/>
        <w:rPr>
          <w:rFonts w:ascii="Times New Roman" w:hAnsi="Times New Roman" w:cs="Times New Roman"/>
          <w:sz w:val="28"/>
          <w:szCs w:val="28"/>
        </w:rPr>
      </w:pPr>
      <w:r w:rsidRPr="00203E5D">
        <w:rPr>
          <w:rFonts w:ascii="Times New Roman" w:eastAsia="Times New Roman" w:hAnsi="Times New Roman"/>
          <w:sz w:val="28"/>
          <w:szCs w:val="28"/>
        </w:rPr>
        <w:t xml:space="preserve">Исполнитель: </w:t>
      </w:r>
      <w:r w:rsidRPr="00A57A2B">
        <w:rPr>
          <w:rFonts w:ascii="Times New Roman" w:hAnsi="Times New Roman" w:cs="Times New Roman"/>
          <w:sz w:val="28"/>
          <w:szCs w:val="28"/>
        </w:rPr>
        <w:t>докторант Жолдасбекова Г.М.</w:t>
      </w:r>
    </w:p>
    <w:p w14:paraId="0C211F4A" w14:textId="77777777" w:rsidR="00A57A2B" w:rsidRPr="00A57A2B" w:rsidRDefault="00A57A2B" w:rsidP="00A57A2B">
      <w:pPr>
        <w:spacing w:after="0" w:line="240" w:lineRule="auto"/>
        <w:ind w:right="601"/>
        <w:contextualSpacing/>
        <w:jc w:val="both"/>
        <w:rPr>
          <w:rFonts w:ascii="Times New Roman" w:eastAsia="Times New Roman" w:hAnsi="Times New Roman"/>
          <w:sz w:val="28"/>
          <w:szCs w:val="28"/>
        </w:rPr>
      </w:pPr>
      <w:r w:rsidRPr="00A57A2B">
        <w:rPr>
          <w:rFonts w:ascii="Times New Roman" w:eastAsia="Times New Roman" w:hAnsi="Times New Roman"/>
          <w:sz w:val="28"/>
          <w:szCs w:val="28"/>
        </w:rPr>
        <w:t xml:space="preserve">Научные консультанты: </w:t>
      </w:r>
    </w:p>
    <w:p w14:paraId="0C211F4B" w14:textId="77777777" w:rsidR="00A57A2B" w:rsidRPr="00A57A2B" w:rsidRDefault="00A57A2B" w:rsidP="00A57A2B">
      <w:pPr>
        <w:tabs>
          <w:tab w:val="left" w:pos="284"/>
        </w:tabs>
        <w:spacing w:line="240" w:lineRule="auto"/>
        <w:contextualSpacing/>
        <w:jc w:val="both"/>
        <w:rPr>
          <w:rFonts w:ascii="Times New Roman" w:eastAsia="Times New Roman" w:hAnsi="Times New Roman"/>
          <w:sz w:val="28"/>
          <w:szCs w:val="28"/>
        </w:rPr>
      </w:pPr>
      <w:r w:rsidRPr="00A57A2B">
        <w:rPr>
          <w:rFonts w:ascii="Times New Roman" w:eastAsia="Times New Roman" w:hAnsi="Times New Roman"/>
          <w:sz w:val="28"/>
          <w:szCs w:val="28"/>
        </w:rPr>
        <w:t>Клюев Дмитрий Анатольевич, к.м.н., ассоциированный профессор, директор «Института наук о жизни», НАО «Карагандинский медицинский университет»</w:t>
      </w:r>
    </w:p>
    <w:p w14:paraId="0C211F4C" w14:textId="77777777" w:rsidR="00A57A2B" w:rsidRPr="00A57A2B" w:rsidRDefault="00A57A2B" w:rsidP="00A57A2B">
      <w:pPr>
        <w:spacing w:after="0" w:line="240" w:lineRule="auto"/>
        <w:jc w:val="both"/>
        <w:rPr>
          <w:rFonts w:ascii="Times New Roman" w:hAnsi="Times New Roman"/>
          <w:sz w:val="28"/>
          <w:szCs w:val="28"/>
        </w:rPr>
      </w:pPr>
      <w:r w:rsidRPr="00A57A2B">
        <w:rPr>
          <w:rFonts w:ascii="Times New Roman" w:hAnsi="Times New Roman" w:cs="Times New Roman"/>
          <w:sz w:val="28"/>
          <w:szCs w:val="28"/>
        </w:rPr>
        <w:t>Аскарова Ш.Н.</w:t>
      </w:r>
      <w:r w:rsidRPr="00A57A2B">
        <w:rPr>
          <w:rFonts w:ascii="Times New Roman" w:hAnsi="Times New Roman"/>
          <w:sz w:val="28"/>
          <w:szCs w:val="28"/>
        </w:rPr>
        <w:t xml:space="preserve"> PhD, профессор, руководитель Лаборатории Биоинженерии и регенеративной медицины Центра Наук о жизни, NLA, Назарбаев университет</w:t>
      </w:r>
    </w:p>
    <w:p w14:paraId="0C211F4D" w14:textId="77777777" w:rsidR="00A57A2B" w:rsidRPr="00A57A2B" w:rsidRDefault="00A57A2B" w:rsidP="00A57A2B">
      <w:pPr>
        <w:spacing w:after="0" w:line="240" w:lineRule="auto"/>
        <w:jc w:val="both"/>
        <w:rPr>
          <w:rFonts w:ascii="Times New Roman" w:hAnsi="Times New Roman"/>
          <w:sz w:val="28"/>
          <w:szCs w:val="28"/>
        </w:rPr>
      </w:pPr>
      <w:r w:rsidRPr="00A57A2B">
        <w:rPr>
          <w:rFonts w:ascii="Times New Roman" w:hAnsi="Times New Roman"/>
          <w:sz w:val="28"/>
          <w:szCs w:val="28"/>
        </w:rPr>
        <w:t>Альжанова Д.С. –к.м.н. доцент кафедры неврологии НАО «Медицинский университет Астана»</w:t>
      </w:r>
    </w:p>
    <w:p w14:paraId="0C211F4E" w14:textId="77777777" w:rsidR="00A57A2B" w:rsidRPr="00A57A2B" w:rsidRDefault="00A57A2B" w:rsidP="00A57A2B">
      <w:pPr>
        <w:tabs>
          <w:tab w:val="left" w:pos="284"/>
        </w:tabs>
        <w:spacing w:line="240" w:lineRule="auto"/>
        <w:contextualSpacing/>
        <w:jc w:val="both"/>
        <w:rPr>
          <w:rFonts w:ascii="Times New Roman" w:eastAsia="Times New Roman" w:hAnsi="Times New Roman"/>
          <w:sz w:val="28"/>
          <w:szCs w:val="28"/>
          <w:lang w:val="en-US"/>
        </w:rPr>
      </w:pPr>
      <w:r w:rsidRPr="00A57A2B">
        <w:rPr>
          <w:rFonts w:ascii="Times New Roman" w:eastAsia="Times New Roman" w:hAnsi="Times New Roman"/>
          <w:sz w:val="28"/>
          <w:szCs w:val="28"/>
        </w:rPr>
        <w:t>Зарубежный</w:t>
      </w:r>
      <w:r w:rsidRPr="00A57A2B">
        <w:rPr>
          <w:rFonts w:ascii="Times New Roman" w:eastAsia="Times New Roman" w:hAnsi="Times New Roman"/>
          <w:sz w:val="28"/>
          <w:szCs w:val="28"/>
          <w:lang w:val="en-US"/>
        </w:rPr>
        <w:t xml:space="preserve"> </w:t>
      </w:r>
      <w:r w:rsidRPr="00A57A2B">
        <w:rPr>
          <w:rFonts w:ascii="Times New Roman" w:eastAsia="Times New Roman" w:hAnsi="Times New Roman"/>
          <w:sz w:val="28"/>
          <w:szCs w:val="28"/>
        </w:rPr>
        <w:t>научный</w:t>
      </w:r>
      <w:r w:rsidRPr="00A57A2B">
        <w:rPr>
          <w:rFonts w:ascii="Times New Roman" w:eastAsia="Times New Roman" w:hAnsi="Times New Roman"/>
          <w:sz w:val="28"/>
          <w:szCs w:val="28"/>
          <w:lang w:val="en-US"/>
        </w:rPr>
        <w:t xml:space="preserve"> </w:t>
      </w:r>
      <w:r w:rsidRPr="00A57A2B">
        <w:rPr>
          <w:rFonts w:ascii="Times New Roman" w:eastAsia="Times New Roman" w:hAnsi="Times New Roman"/>
          <w:sz w:val="28"/>
          <w:szCs w:val="28"/>
        </w:rPr>
        <w:t>консультант</w:t>
      </w:r>
      <w:r w:rsidRPr="00A57A2B">
        <w:rPr>
          <w:rFonts w:ascii="Times New Roman" w:eastAsia="Times New Roman" w:hAnsi="Times New Roman"/>
          <w:sz w:val="28"/>
          <w:szCs w:val="28"/>
          <w:lang w:val="en-US"/>
        </w:rPr>
        <w:t>:</w:t>
      </w:r>
    </w:p>
    <w:p w14:paraId="0C211F4F" w14:textId="77777777" w:rsidR="00A57A2B" w:rsidRPr="00A57A2B" w:rsidRDefault="00A57A2B" w:rsidP="00A57A2B">
      <w:pPr>
        <w:spacing w:after="0" w:line="240" w:lineRule="auto"/>
        <w:jc w:val="both"/>
        <w:rPr>
          <w:rFonts w:ascii="Times New Roman" w:hAnsi="Times New Roman"/>
          <w:sz w:val="28"/>
          <w:szCs w:val="28"/>
          <w:lang w:val="en-US"/>
        </w:rPr>
      </w:pPr>
      <w:r w:rsidRPr="00A57A2B">
        <w:rPr>
          <w:rFonts w:ascii="Times New Roman" w:hAnsi="Times New Roman"/>
          <w:sz w:val="28"/>
          <w:szCs w:val="28"/>
          <w:lang w:val="en-US"/>
        </w:rPr>
        <w:t>Varvara Kozyreva – PhD, California Department of Public Health, Genotyping Unit Chief, Research Scientist Supervisor I(Microbial Diseases Laboratory Program)</w:t>
      </w:r>
    </w:p>
    <w:p w14:paraId="0C211F50" w14:textId="77777777" w:rsidR="00A57A2B" w:rsidRPr="00D85593" w:rsidRDefault="00A57A2B" w:rsidP="00A57A2B">
      <w:pPr>
        <w:spacing w:after="0" w:line="240" w:lineRule="auto"/>
        <w:ind w:right="601"/>
        <w:jc w:val="both"/>
        <w:rPr>
          <w:rFonts w:ascii="Times New Roman" w:eastAsia="Times New Roman" w:hAnsi="Times New Roman"/>
          <w:sz w:val="28"/>
          <w:szCs w:val="28"/>
          <w:lang w:val="en-US"/>
        </w:rPr>
      </w:pPr>
    </w:p>
    <w:p w14:paraId="0C211F51" w14:textId="77777777" w:rsidR="00A57A2B" w:rsidRPr="00D85593" w:rsidRDefault="00A57A2B" w:rsidP="00A57A2B">
      <w:pPr>
        <w:spacing w:after="0" w:line="240" w:lineRule="auto"/>
        <w:ind w:right="601"/>
        <w:jc w:val="both"/>
        <w:rPr>
          <w:rFonts w:ascii="Times New Roman" w:eastAsia="Times New Roman" w:hAnsi="Times New Roman"/>
          <w:sz w:val="28"/>
          <w:szCs w:val="28"/>
          <w:lang w:val="en-US"/>
        </w:rPr>
      </w:pPr>
    </w:p>
    <w:p w14:paraId="0C211F52" w14:textId="77777777" w:rsidR="00A57A2B" w:rsidRPr="00203E5D" w:rsidRDefault="00A57A2B" w:rsidP="00A57A2B">
      <w:pPr>
        <w:spacing w:after="0" w:line="240" w:lineRule="auto"/>
        <w:ind w:right="601"/>
        <w:jc w:val="both"/>
        <w:rPr>
          <w:rFonts w:ascii="Times New Roman" w:eastAsia="Times New Roman" w:hAnsi="Times New Roman"/>
          <w:sz w:val="28"/>
          <w:szCs w:val="28"/>
          <w:lang w:val="en-US"/>
        </w:rPr>
      </w:pPr>
    </w:p>
    <w:p w14:paraId="0C211F53" w14:textId="77777777" w:rsidR="00A57A2B" w:rsidRPr="00203E5D" w:rsidRDefault="00A57A2B" w:rsidP="00A57A2B">
      <w:pPr>
        <w:spacing w:after="0" w:line="240" w:lineRule="auto"/>
        <w:ind w:right="601"/>
        <w:jc w:val="both"/>
        <w:rPr>
          <w:rFonts w:ascii="Times New Roman" w:eastAsia="Times New Roman" w:hAnsi="Times New Roman"/>
          <w:sz w:val="28"/>
          <w:szCs w:val="28"/>
          <w:lang w:val="en-US"/>
        </w:rPr>
      </w:pPr>
    </w:p>
    <w:p w14:paraId="0C211F54" w14:textId="77777777" w:rsidR="00A57A2B" w:rsidRPr="00203E5D" w:rsidRDefault="00A57A2B" w:rsidP="00A57A2B">
      <w:pPr>
        <w:spacing w:after="0" w:line="240" w:lineRule="auto"/>
        <w:ind w:right="601"/>
        <w:jc w:val="both"/>
        <w:rPr>
          <w:rFonts w:ascii="Times New Roman" w:eastAsia="Times New Roman" w:hAnsi="Times New Roman"/>
          <w:sz w:val="28"/>
          <w:szCs w:val="28"/>
          <w:lang w:val="en-US"/>
        </w:rPr>
      </w:pPr>
    </w:p>
    <w:p w14:paraId="0C211F55" w14:textId="77777777" w:rsidR="00A57A2B" w:rsidRPr="00203E5D" w:rsidRDefault="00A57A2B" w:rsidP="00A57A2B">
      <w:pPr>
        <w:spacing w:after="0" w:line="240" w:lineRule="auto"/>
        <w:ind w:right="601"/>
        <w:jc w:val="both"/>
        <w:rPr>
          <w:rFonts w:ascii="Times New Roman" w:eastAsia="Times New Roman" w:hAnsi="Times New Roman"/>
          <w:sz w:val="28"/>
          <w:szCs w:val="28"/>
          <w:lang w:val="en-US"/>
        </w:rPr>
      </w:pPr>
    </w:p>
    <w:p w14:paraId="0C211F56" w14:textId="77777777" w:rsidR="00A57A2B" w:rsidRPr="00D85593" w:rsidRDefault="00A57A2B" w:rsidP="00A57A2B">
      <w:pPr>
        <w:spacing w:after="0" w:line="240" w:lineRule="auto"/>
        <w:ind w:right="601"/>
        <w:jc w:val="both"/>
        <w:rPr>
          <w:rFonts w:ascii="Times New Roman" w:eastAsia="Times New Roman" w:hAnsi="Times New Roman"/>
          <w:sz w:val="28"/>
          <w:szCs w:val="28"/>
          <w:lang w:val="en-US"/>
        </w:rPr>
      </w:pPr>
    </w:p>
    <w:p w14:paraId="0C211F57" w14:textId="77777777" w:rsidR="00A57A2B" w:rsidRPr="00D85593" w:rsidRDefault="00A57A2B" w:rsidP="00A57A2B">
      <w:pPr>
        <w:spacing w:after="0" w:line="240" w:lineRule="auto"/>
        <w:ind w:right="601"/>
        <w:jc w:val="both"/>
        <w:rPr>
          <w:rFonts w:ascii="Times New Roman" w:eastAsia="Times New Roman" w:hAnsi="Times New Roman"/>
          <w:sz w:val="28"/>
          <w:szCs w:val="28"/>
          <w:lang w:val="en-US"/>
        </w:rPr>
      </w:pPr>
    </w:p>
    <w:p w14:paraId="0C211F58" w14:textId="77777777" w:rsidR="00553A6C" w:rsidRPr="00F30FDA" w:rsidRDefault="00553A6C" w:rsidP="00A57A2B">
      <w:pPr>
        <w:spacing w:after="0" w:line="240" w:lineRule="auto"/>
        <w:ind w:right="601"/>
        <w:jc w:val="center"/>
        <w:rPr>
          <w:rFonts w:ascii="Times New Roman" w:eastAsia="Times New Roman" w:hAnsi="Times New Roman"/>
          <w:sz w:val="28"/>
          <w:szCs w:val="28"/>
          <w:lang w:val="en-US"/>
        </w:rPr>
      </w:pPr>
    </w:p>
    <w:p w14:paraId="0C211F59" w14:textId="77777777" w:rsidR="00553A6C" w:rsidRPr="00F30FDA" w:rsidRDefault="00553A6C" w:rsidP="00A57A2B">
      <w:pPr>
        <w:spacing w:after="0" w:line="240" w:lineRule="auto"/>
        <w:ind w:right="601"/>
        <w:jc w:val="center"/>
        <w:rPr>
          <w:rFonts w:ascii="Times New Roman" w:eastAsia="Times New Roman" w:hAnsi="Times New Roman"/>
          <w:sz w:val="28"/>
          <w:szCs w:val="28"/>
          <w:lang w:val="en-US"/>
        </w:rPr>
      </w:pPr>
    </w:p>
    <w:p w14:paraId="0C211F5A" w14:textId="77777777" w:rsidR="00553A6C" w:rsidRPr="00F30FDA" w:rsidRDefault="00553A6C" w:rsidP="00A57A2B">
      <w:pPr>
        <w:spacing w:after="0" w:line="240" w:lineRule="auto"/>
        <w:ind w:right="601"/>
        <w:jc w:val="center"/>
        <w:rPr>
          <w:rFonts w:ascii="Times New Roman" w:eastAsia="Times New Roman" w:hAnsi="Times New Roman"/>
          <w:sz w:val="28"/>
          <w:szCs w:val="28"/>
          <w:lang w:val="en-US"/>
        </w:rPr>
      </w:pPr>
    </w:p>
    <w:p w14:paraId="0C211F5B" w14:textId="77777777" w:rsidR="00D46D81" w:rsidRPr="00F30FDA" w:rsidRDefault="00D46D81" w:rsidP="00553A6C">
      <w:pPr>
        <w:spacing w:after="0" w:line="240" w:lineRule="auto"/>
        <w:rPr>
          <w:rFonts w:ascii="Times New Roman" w:eastAsia="Times New Roman" w:hAnsi="Times New Roman"/>
          <w:sz w:val="28"/>
          <w:szCs w:val="28"/>
          <w:lang w:val="en-US"/>
        </w:rPr>
      </w:pPr>
    </w:p>
    <w:p w14:paraId="0C211F5C" w14:textId="77777777" w:rsidR="00FF7115" w:rsidRPr="00553A6C" w:rsidRDefault="00A57A2B" w:rsidP="00553A6C">
      <w:pPr>
        <w:spacing w:after="0" w:line="240" w:lineRule="auto"/>
        <w:rPr>
          <w:rFonts w:ascii="Times New Roman" w:hAnsi="Times New Roman" w:cs="Times New Roman"/>
          <w:sz w:val="32"/>
          <w:szCs w:val="32"/>
        </w:rPr>
      </w:pPr>
      <w:r w:rsidRPr="00F30FDA">
        <w:rPr>
          <w:rFonts w:ascii="Times New Roman" w:eastAsia="Times New Roman" w:hAnsi="Times New Roman"/>
          <w:sz w:val="28"/>
          <w:szCs w:val="28"/>
          <w:lang w:val="en-US"/>
        </w:rPr>
        <w:t xml:space="preserve">                                                    </w:t>
      </w:r>
      <w:r w:rsidR="00D46D81">
        <w:rPr>
          <w:rFonts w:ascii="Times New Roman" w:eastAsia="Times New Roman" w:hAnsi="Times New Roman"/>
          <w:sz w:val="28"/>
          <w:szCs w:val="28"/>
        </w:rPr>
        <w:t>Караганда</w:t>
      </w:r>
      <w:r w:rsidRPr="00203E5D">
        <w:rPr>
          <w:rFonts w:ascii="Times New Roman" w:eastAsia="Times New Roman" w:hAnsi="Times New Roman"/>
          <w:sz w:val="28"/>
          <w:szCs w:val="28"/>
        </w:rPr>
        <w:t xml:space="preserve"> 202</w:t>
      </w:r>
      <w:r>
        <w:rPr>
          <w:rFonts w:ascii="Times New Roman" w:eastAsia="Times New Roman" w:hAnsi="Times New Roman"/>
          <w:sz w:val="28"/>
          <w:szCs w:val="28"/>
        </w:rPr>
        <w:t>5</w:t>
      </w:r>
      <w:r w:rsidR="00877AFB">
        <w:rPr>
          <w:rFonts w:ascii="Times New Roman" w:hAnsi="Times New Roman" w:cs="Times New Roman"/>
          <w:b/>
          <w:sz w:val="32"/>
          <w:szCs w:val="32"/>
        </w:rPr>
        <w:t xml:space="preserve">               </w:t>
      </w:r>
      <w:r w:rsidR="00332378">
        <w:rPr>
          <w:rFonts w:ascii="Times New Roman" w:hAnsi="Times New Roman" w:cs="Times New Roman"/>
          <w:b/>
          <w:sz w:val="32"/>
          <w:szCs w:val="32"/>
        </w:rPr>
        <w:t xml:space="preserve">                          </w:t>
      </w:r>
    </w:p>
    <w:p w14:paraId="0C211F5D" w14:textId="77777777" w:rsidR="00A57A2B" w:rsidRPr="005155D5" w:rsidRDefault="00553A6C" w:rsidP="00553A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46D81">
        <w:rPr>
          <w:rFonts w:ascii="Times New Roman" w:hAnsi="Times New Roman" w:cs="Times New Roman"/>
          <w:b/>
          <w:sz w:val="28"/>
          <w:szCs w:val="28"/>
        </w:rPr>
        <w:t xml:space="preserve">  </w:t>
      </w:r>
      <w:r w:rsidR="00A57A2B" w:rsidRPr="005155D5">
        <w:rPr>
          <w:rFonts w:ascii="Times New Roman" w:hAnsi="Times New Roman" w:cs="Times New Roman"/>
          <w:b/>
          <w:sz w:val="28"/>
          <w:szCs w:val="28"/>
        </w:rPr>
        <w:t>Актуальность исследования</w:t>
      </w:r>
    </w:p>
    <w:p w14:paraId="0C211F5E" w14:textId="77777777" w:rsidR="00A57A2B" w:rsidRPr="005155D5" w:rsidRDefault="00D46D81" w:rsidP="00A57A2B">
      <w:pPr>
        <w:shd w:val="clear" w:color="auto" w:fill="FFFFFF"/>
        <w:spacing w:after="0" w:line="240" w:lineRule="auto"/>
        <w:ind w:firstLine="709"/>
        <w:jc w:val="both"/>
        <w:rPr>
          <w:rFonts w:ascii="Times New Roman" w:hAnsi="Times New Roman" w:cs="Times New Roman"/>
          <w:color w:val="202124"/>
          <w:sz w:val="28"/>
          <w:szCs w:val="28"/>
        </w:rPr>
      </w:pPr>
      <w:r>
        <w:rPr>
          <w:rStyle w:val="y2iqfc"/>
          <w:rFonts w:ascii="Times New Roman" w:eastAsiaTheme="majorEastAsia" w:hAnsi="Times New Roman" w:cs="Times New Roman"/>
          <w:color w:val="202124"/>
          <w:sz w:val="28"/>
          <w:szCs w:val="28"/>
        </w:rPr>
        <w:t xml:space="preserve">  </w:t>
      </w:r>
      <w:r w:rsidR="00A57A2B" w:rsidRPr="005155D5">
        <w:rPr>
          <w:rStyle w:val="y2iqfc"/>
          <w:rFonts w:ascii="Times New Roman" w:eastAsiaTheme="majorEastAsia" w:hAnsi="Times New Roman" w:cs="Times New Roman"/>
          <w:color w:val="202124"/>
          <w:sz w:val="28"/>
          <w:szCs w:val="28"/>
        </w:rPr>
        <w:t>Болезнь Альцгеймера (БА)</w:t>
      </w:r>
      <w:r w:rsidR="00A57A2B">
        <w:rPr>
          <w:rStyle w:val="y2iqfc"/>
          <w:rFonts w:ascii="Times New Roman" w:eastAsiaTheme="majorEastAsia" w:hAnsi="Times New Roman" w:cs="Times New Roman"/>
          <w:color w:val="202124"/>
          <w:sz w:val="28"/>
          <w:szCs w:val="28"/>
        </w:rPr>
        <w:t xml:space="preserve"> ‒</w:t>
      </w:r>
      <w:r w:rsidR="00A57A2B" w:rsidRPr="005155D5">
        <w:rPr>
          <w:rStyle w:val="y2iqfc"/>
          <w:rFonts w:ascii="Times New Roman" w:eastAsiaTheme="majorEastAsia" w:hAnsi="Times New Roman" w:cs="Times New Roman"/>
          <w:color w:val="202124"/>
          <w:sz w:val="28"/>
          <w:szCs w:val="28"/>
        </w:rPr>
        <w:t xml:space="preserve"> это прогрессирующее нейродегенеративное заболевание головного мозга, </w:t>
      </w:r>
      <w:r w:rsidR="00A57A2B" w:rsidRPr="005155D5">
        <w:rPr>
          <w:rFonts w:ascii="Times New Roman" w:hAnsi="Times New Roman" w:cs="Times New Roman"/>
          <w:color w:val="202124"/>
          <w:sz w:val="28"/>
          <w:szCs w:val="28"/>
        </w:rPr>
        <w:t>поражающее около 10% людей в возрасте 65 лет и 30% старше 80 лет. По данным ВОЗ среди 10 причин смертности в мире в 2019 г болезнь Альцгеймера заняла 7 строчку после ИБС, инсультов, ХОБЛ, инфекций нижних дыхательных путей, неонатальных патологических состояний и рака трахеи, бронхов и легких. По причинам смертности, среди лиц пожилого возраста старше 65 лет, нейродегенеративные заболевания занимают 6 место, а недееспособности первое место</w:t>
      </w:r>
      <w:r w:rsidR="00A57A2B">
        <w:rPr>
          <w:rFonts w:ascii="Times New Roman" w:hAnsi="Times New Roman" w:cs="Times New Roman"/>
          <w:color w:val="202124"/>
          <w:sz w:val="28"/>
          <w:szCs w:val="28"/>
        </w:rPr>
        <w:t xml:space="preserve"> [1].</w:t>
      </w:r>
      <w:r w:rsidR="00A57A2B" w:rsidRPr="005155D5">
        <w:rPr>
          <w:rFonts w:ascii="Times New Roman" w:hAnsi="Times New Roman" w:cs="Times New Roman"/>
          <w:color w:val="202124"/>
          <w:sz w:val="28"/>
          <w:szCs w:val="28"/>
        </w:rPr>
        <w:t xml:space="preserve"> Согласно ежегодному отчету </w:t>
      </w:r>
      <w:r w:rsidR="00A57A2B" w:rsidRPr="005155D5">
        <w:rPr>
          <w:rFonts w:ascii="Times New Roman" w:hAnsi="Times New Roman" w:cs="Times New Roman"/>
          <w:color w:val="202124"/>
          <w:sz w:val="28"/>
          <w:szCs w:val="28"/>
          <w:lang w:val="en-US"/>
        </w:rPr>
        <w:t>ADI</w:t>
      </w:r>
      <w:r w:rsidR="00A57A2B" w:rsidRPr="005155D5">
        <w:rPr>
          <w:rFonts w:ascii="Times New Roman" w:hAnsi="Times New Roman" w:cs="Times New Roman"/>
          <w:color w:val="202124"/>
          <w:sz w:val="28"/>
          <w:szCs w:val="28"/>
        </w:rPr>
        <w:t xml:space="preserve"> (</w:t>
      </w:r>
      <w:r w:rsidR="00A57A2B" w:rsidRPr="005155D5">
        <w:rPr>
          <w:rFonts w:ascii="Times New Roman" w:hAnsi="Times New Roman" w:cs="Times New Roman"/>
          <w:color w:val="202124"/>
          <w:sz w:val="28"/>
          <w:szCs w:val="28"/>
          <w:lang w:val="en-US"/>
        </w:rPr>
        <w:t>Alzheimer</w:t>
      </w:r>
      <w:r w:rsidR="00A57A2B" w:rsidRPr="005155D5">
        <w:rPr>
          <w:rFonts w:ascii="Times New Roman" w:hAnsi="Times New Roman" w:cs="Times New Roman"/>
          <w:color w:val="202124"/>
          <w:sz w:val="28"/>
          <w:szCs w:val="28"/>
        </w:rPr>
        <w:t>’</w:t>
      </w:r>
      <w:r w:rsidR="00A57A2B" w:rsidRPr="005155D5">
        <w:rPr>
          <w:rFonts w:ascii="Times New Roman" w:hAnsi="Times New Roman" w:cs="Times New Roman"/>
          <w:color w:val="202124"/>
          <w:sz w:val="28"/>
          <w:szCs w:val="28"/>
          <w:lang w:val="en-US"/>
        </w:rPr>
        <w:t>s</w:t>
      </w:r>
      <w:r w:rsidR="00A57A2B" w:rsidRPr="005155D5">
        <w:rPr>
          <w:rFonts w:ascii="Times New Roman" w:hAnsi="Times New Roman" w:cs="Times New Roman"/>
          <w:color w:val="202124"/>
          <w:sz w:val="28"/>
          <w:szCs w:val="28"/>
        </w:rPr>
        <w:t xml:space="preserve"> </w:t>
      </w:r>
      <w:r w:rsidR="00A57A2B" w:rsidRPr="005155D5">
        <w:rPr>
          <w:rFonts w:ascii="Times New Roman" w:hAnsi="Times New Roman" w:cs="Times New Roman"/>
          <w:color w:val="202124"/>
          <w:sz w:val="28"/>
          <w:szCs w:val="28"/>
          <w:lang w:val="en-US"/>
        </w:rPr>
        <w:t>Disease</w:t>
      </w:r>
      <w:r w:rsidR="00A57A2B" w:rsidRPr="005155D5">
        <w:rPr>
          <w:rFonts w:ascii="Times New Roman" w:hAnsi="Times New Roman" w:cs="Times New Roman"/>
          <w:color w:val="202124"/>
          <w:sz w:val="28"/>
          <w:szCs w:val="28"/>
        </w:rPr>
        <w:t xml:space="preserve"> </w:t>
      </w:r>
      <w:r w:rsidR="00A57A2B" w:rsidRPr="005155D5">
        <w:rPr>
          <w:rFonts w:ascii="Times New Roman" w:hAnsi="Times New Roman" w:cs="Times New Roman"/>
          <w:color w:val="202124"/>
          <w:sz w:val="28"/>
          <w:szCs w:val="28"/>
          <w:lang w:val="en-US"/>
        </w:rPr>
        <w:t>International</w:t>
      </w:r>
      <w:r w:rsidR="00A57A2B" w:rsidRPr="005155D5">
        <w:rPr>
          <w:rFonts w:ascii="Times New Roman" w:hAnsi="Times New Roman" w:cs="Times New Roman"/>
          <w:color w:val="202124"/>
          <w:sz w:val="28"/>
          <w:szCs w:val="28"/>
        </w:rPr>
        <w:t>) в 2020 г. возрастной деменцией  страдали около 55 млн. человек по всему миру и эта цифра удваивается каждые 20 лет и достигнет 78 млн. в 2030 г. и 139 млн. в 2050 г. При этом более 60% случаев будет приходиться на страны со средним и низким доходом</w:t>
      </w:r>
      <w:r w:rsidR="00A57A2B">
        <w:rPr>
          <w:rFonts w:ascii="Times New Roman" w:hAnsi="Times New Roman" w:cs="Times New Roman"/>
          <w:color w:val="202124"/>
          <w:sz w:val="28"/>
          <w:szCs w:val="28"/>
        </w:rPr>
        <w:t xml:space="preserve"> [2]</w:t>
      </w:r>
      <w:r w:rsidR="00A57A2B" w:rsidRPr="005155D5">
        <w:rPr>
          <w:rFonts w:ascii="Times New Roman" w:hAnsi="Times New Roman" w:cs="Times New Roman"/>
          <w:color w:val="202124"/>
          <w:sz w:val="28"/>
          <w:szCs w:val="28"/>
        </w:rPr>
        <w:t>.</w:t>
      </w:r>
      <w:r w:rsidR="00A57A2B" w:rsidRPr="005155D5">
        <w:rPr>
          <w:sz w:val="28"/>
          <w:szCs w:val="28"/>
        </w:rPr>
        <w:t xml:space="preserve"> </w:t>
      </w:r>
      <w:r w:rsidR="00A57A2B" w:rsidRPr="005155D5">
        <w:rPr>
          <w:rFonts w:ascii="Times New Roman" w:hAnsi="Times New Roman" w:cs="Times New Roman"/>
          <w:color w:val="202124"/>
          <w:sz w:val="28"/>
          <w:szCs w:val="28"/>
        </w:rPr>
        <w:t>В Казахстане, также как и в других странах мира, на протяжении последних десятилетий происходит старение населения, где доля пожилых лиц старше 65 лет выросла с 6.6 до 8.2% человек. Учитывая, что численность населения в Казахстане в 2023 году составила 20 млн. человек и, основываясь на данных мировой статистики, можно предположить что около 200000 человек преклонного возраста могут страдать возрастной деменцией.</w:t>
      </w:r>
    </w:p>
    <w:p w14:paraId="0C211F5F" w14:textId="77777777" w:rsidR="00A57A2B" w:rsidRPr="005155D5" w:rsidRDefault="00D46D81" w:rsidP="00A57A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A2B" w:rsidRPr="005155D5">
        <w:rPr>
          <w:rFonts w:ascii="Times New Roman" w:hAnsi="Times New Roman" w:cs="Times New Roman"/>
          <w:sz w:val="28"/>
          <w:szCs w:val="28"/>
        </w:rPr>
        <w:t>В последние десятилетия болезнь Альцгеймера становится предметом все более возрастающего внимания научного сообщества в связи с ее мультифакториальным характером и социально-экономическим бременем, которое она накладывает на общество. Сложность этой нейродегенеративной патологии, объединенная с ее растущей распространенностью, связанной с повсеместным старением населения Земли подчеркивает неотложную необходимость в более глубоком исследовании механизмов развития и факторов риска, что особенно актуально для развивающихся стран, включая Казахстан. Во Всемирном Докладе Болезни Альцгеймера говорится, что в Центрально-Азиатском регионе отмечается постоянный недостаток исследований в области деменции.</w:t>
      </w:r>
    </w:p>
    <w:p w14:paraId="0C211F60" w14:textId="77777777" w:rsidR="00A57A2B" w:rsidRPr="005155D5" w:rsidRDefault="00D46D81" w:rsidP="00A57A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A2B" w:rsidRPr="005155D5">
        <w:rPr>
          <w:rFonts w:ascii="Times New Roman" w:hAnsi="Times New Roman" w:cs="Times New Roman"/>
          <w:sz w:val="28"/>
          <w:szCs w:val="28"/>
        </w:rPr>
        <w:t>Одним из важных факторов, влияющих на здоровье человека и привлекающих все большее внимание ученых в последние два десятилетия, является кишечный микробиом.</w:t>
      </w:r>
      <w:r w:rsidR="00A57A2B" w:rsidRPr="005155D5">
        <w:rPr>
          <w:sz w:val="28"/>
          <w:szCs w:val="28"/>
        </w:rPr>
        <w:t xml:space="preserve"> </w:t>
      </w:r>
      <w:r w:rsidR="00A57A2B" w:rsidRPr="005155D5">
        <w:rPr>
          <w:rFonts w:ascii="Times New Roman" w:hAnsi="Times New Roman" w:cs="Times New Roman"/>
          <w:sz w:val="28"/>
          <w:szCs w:val="28"/>
        </w:rPr>
        <w:t xml:space="preserve">Недавние исследования убедительно свидетельствуют о том, что микробиом кишечника может влиять на функции мозга и способствовать развитию болезни Альцгеймера. Тем не менее, нет исследований, сравнивающих изменения микробиома кишечника, связанные с БА в различных популяциях людей, хотя существуют доказательства того, что изменения в микробиоме кишечника у пациентов с </w:t>
      </w:r>
      <w:r w:rsidR="00A57A2B">
        <w:rPr>
          <w:rFonts w:ascii="Times New Roman" w:hAnsi="Times New Roman" w:cs="Times New Roman"/>
          <w:sz w:val="28"/>
          <w:szCs w:val="28"/>
        </w:rPr>
        <w:t>БА</w:t>
      </w:r>
      <w:r w:rsidR="00A57A2B" w:rsidRPr="005155D5">
        <w:rPr>
          <w:rFonts w:ascii="Times New Roman" w:hAnsi="Times New Roman" w:cs="Times New Roman"/>
          <w:sz w:val="28"/>
          <w:szCs w:val="28"/>
        </w:rPr>
        <w:t xml:space="preserve"> из разных стран не одинаковы. Эти различия могут быть связаны с такими фактами, как биогеография, этническая принадлежность, образ жизни и привычки питания. Существует также предположение, что развитие спорадической болезни Альцгеймера может быть обусловлено микробиом-ассоциированным периферическим воспалением. Следовательно, необходимы дополнительные исследования, чтобы выявить взаимосвязь между изменениями микробиома </w:t>
      </w:r>
      <w:r w:rsidR="00A57A2B" w:rsidRPr="005155D5">
        <w:rPr>
          <w:rFonts w:ascii="Times New Roman" w:hAnsi="Times New Roman" w:cs="Times New Roman"/>
          <w:sz w:val="28"/>
          <w:szCs w:val="28"/>
        </w:rPr>
        <w:lastRenderedPageBreak/>
        <w:t>человека, воспалением и образом жизни в разных этнических группах, а также их влияние на когнитивные функции и риск развития БА.</w:t>
      </w:r>
    </w:p>
    <w:p w14:paraId="0C211F61" w14:textId="77777777" w:rsidR="00A57A2B" w:rsidRDefault="00D46D81" w:rsidP="00A57A2B">
      <w:pPr>
        <w:spacing w:after="0" w:line="240" w:lineRule="auto"/>
        <w:ind w:firstLine="709"/>
        <w:jc w:val="both"/>
        <w:rPr>
          <w:rFonts w:ascii="Times New Roman" w:hAnsi="Times New Roman" w:cs="Times New Roman"/>
          <w:color w:val="202124"/>
          <w:sz w:val="28"/>
          <w:szCs w:val="28"/>
        </w:rPr>
      </w:pPr>
      <w:r>
        <w:rPr>
          <w:rFonts w:ascii="Times New Roman" w:hAnsi="Times New Roman" w:cs="Times New Roman"/>
          <w:sz w:val="28"/>
          <w:szCs w:val="28"/>
        </w:rPr>
        <w:t xml:space="preserve">  </w:t>
      </w:r>
      <w:r w:rsidR="00A57A2B" w:rsidRPr="005155D5">
        <w:rPr>
          <w:rFonts w:ascii="Times New Roman" w:hAnsi="Times New Roman" w:cs="Times New Roman"/>
          <w:sz w:val="28"/>
          <w:szCs w:val="28"/>
        </w:rPr>
        <w:t>Получено достаточно данных о роли наследственных факторов в развитии БА не только при семейных, но и спорадических случаях заболевания. Однако для реализации генетической предрасположенности и запуска патологического процесса необходимо воздействие других внутренних и внешних факторов</w:t>
      </w:r>
      <w:r w:rsidR="00A57A2B">
        <w:rPr>
          <w:rFonts w:ascii="Times New Roman" w:hAnsi="Times New Roman" w:cs="Times New Roman"/>
          <w:sz w:val="28"/>
          <w:szCs w:val="28"/>
        </w:rPr>
        <w:t xml:space="preserve"> </w:t>
      </w:r>
      <w:r w:rsidR="00A57A2B">
        <w:rPr>
          <w:rFonts w:ascii="Times New Roman" w:hAnsi="Times New Roman" w:cs="Times New Roman"/>
          <w:color w:val="202124"/>
          <w:sz w:val="28"/>
          <w:szCs w:val="28"/>
        </w:rPr>
        <w:t>[3]</w:t>
      </w:r>
      <w:r w:rsidR="00A57A2B" w:rsidRPr="005155D5">
        <w:rPr>
          <w:rFonts w:ascii="Times New Roman" w:hAnsi="Times New Roman" w:cs="Times New Roman"/>
          <w:sz w:val="28"/>
          <w:szCs w:val="28"/>
        </w:rPr>
        <w:t xml:space="preserve">. Значимыми факторами риска развития БА рассматриваются старение, женский пол, низкий уровень образования, гипоксия мозга при хронической ишемии в связи с артериальной гипертензией, дислипидемией, сахарным диабетом, повторные черепно-мозговые травмы, инфаркт миокарда, гипотиреоз, депрессия, воздействие электромагнитных полей, загрязнение воздуха, </w:t>
      </w:r>
      <w:r w:rsidR="00A57A2B" w:rsidRPr="005155D5">
        <w:rPr>
          <w:rFonts w:ascii="Times New Roman" w:hAnsi="Times New Roman" w:cs="Times New Roman"/>
          <w:color w:val="000000"/>
          <w:sz w:val="28"/>
          <w:szCs w:val="28"/>
        </w:rPr>
        <w:t>низкий уровень витамина В12 и фолатов в сыворотке крови</w:t>
      </w:r>
      <w:r w:rsidR="00A57A2B">
        <w:rPr>
          <w:rFonts w:ascii="Times New Roman" w:hAnsi="Times New Roman" w:cs="Times New Roman"/>
          <w:color w:val="000000"/>
          <w:sz w:val="28"/>
          <w:szCs w:val="28"/>
        </w:rPr>
        <w:t xml:space="preserve"> </w:t>
      </w:r>
      <w:r w:rsidR="00A57A2B">
        <w:rPr>
          <w:rFonts w:ascii="Times New Roman" w:hAnsi="Times New Roman" w:cs="Times New Roman"/>
          <w:color w:val="202124"/>
          <w:sz w:val="28"/>
          <w:szCs w:val="28"/>
        </w:rPr>
        <w:t>[4-6]</w:t>
      </w:r>
      <w:r w:rsidR="00A57A2B" w:rsidRPr="005155D5">
        <w:rPr>
          <w:rFonts w:ascii="Times New Roman" w:hAnsi="Times New Roman" w:cs="Times New Roman"/>
          <w:color w:val="000000"/>
          <w:sz w:val="28"/>
          <w:szCs w:val="28"/>
        </w:rPr>
        <w:t>.</w:t>
      </w:r>
      <w:r w:rsidR="00A57A2B" w:rsidRPr="005155D5">
        <w:rPr>
          <w:rFonts w:ascii="Times New Roman" w:hAnsi="Times New Roman" w:cs="Times New Roman"/>
          <w:sz w:val="28"/>
          <w:szCs w:val="28"/>
        </w:rPr>
        <w:t xml:space="preserve"> Тем не менее, представления о значимости тех или иных факторов риска развития БА пересматриваются из года в год, и их дальнейшее изучение представляет весьма актуальную научно-медицинскую проблему. На доклинической стадии или стадии умеренных когнитивных нарушений воздействие на модифицируемые факторы риска могло бы потенциально отсрочить начало необратимой гибели нейронов, приводящей к когнитивному снижению. Очевидно, что изучение социально-демографических и коморбидных факторов риска БА позволит разработать более эффективные стратегии первичной и вторичной профилактики этого заболевания</w:t>
      </w:r>
      <w:r w:rsidR="00A57A2B">
        <w:rPr>
          <w:rFonts w:ascii="Times New Roman" w:hAnsi="Times New Roman" w:cs="Times New Roman"/>
          <w:sz w:val="28"/>
          <w:szCs w:val="28"/>
        </w:rPr>
        <w:t xml:space="preserve"> </w:t>
      </w:r>
      <w:r w:rsidR="00A57A2B">
        <w:rPr>
          <w:rFonts w:ascii="Times New Roman" w:hAnsi="Times New Roman" w:cs="Times New Roman"/>
          <w:color w:val="202124"/>
          <w:sz w:val="28"/>
          <w:szCs w:val="28"/>
        </w:rPr>
        <w:t>[7]</w:t>
      </w:r>
      <w:r w:rsidR="00A57A2B" w:rsidRPr="005155D5">
        <w:rPr>
          <w:rFonts w:ascii="Times New Roman" w:hAnsi="Times New Roman" w:cs="Times New Roman"/>
          <w:sz w:val="28"/>
          <w:szCs w:val="28"/>
        </w:rPr>
        <w:t xml:space="preserve">. В этом контексте акцент делается на тщательном изучении взаимодействия биохимических, иммунных и социально-демографических факторов, чтобы полноценно понять механизмы развития этого нейродегенеративного расстройства, а также  разработать более эффективные стратегии первичной и вторичной профилактики и инновационных подходов к управлению над болезнью </w:t>
      </w:r>
      <w:r w:rsidR="00A57A2B">
        <w:rPr>
          <w:rFonts w:ascii="Times New Roman" w:hAnsi="Times New Roman" w:cs="Times New Roman"/>
          <w:color w:val="202124"/>
          <w:sz w:val="28"/>
          <w:szCs w:val="28"/>
        </w:rPr>
        <w:t>[7]</w:t>
      </w:r>
      <w:r w:rsidR="00A57A2B" w:rsidRPr="005155D5">
        <w:rPr>
          <w:rFonts w:ascii="Times New Roman" w:hAnsi="Times New Roman" w:cs="Times New Roman"/>
          <w:sz w:val="28"/>
          <w:szCs w:val="28"/>
        </w:rPr>
        <w:t>.</w:t>
      </w:r>
      <w:r w:rsidR="00A57A2B">
        <w:rPr>
          <w:rFonts w:ascii="Times New Roman" w:hAnsi="Times New Roman" w:cs="Times New Roman"/>
          <w:sz w:val="28"/>
          <w:szCs w:val="28"/>
        </w:rPr>
        <w:t xml:space="preserve"> Представления о значимости конкретных факторов риска развития БА в различных этнических популяциях и географических регионах мира пересматриваются ежегодно, и их дальнейшее изучение по-прежнему остается весьма актуальной научной и медицинской проблемой </w:t>
      </w:r>
      <w:r w:rsidR="00A57A2B" w:rsidRPr="00F556A6">
        <w:rPr>
          <w:rFonts w:ascii="Times New Roman" w:hAnsi="Times New Roman" w:cs="Times New Roman"/>
          <w:color w:val="202124"/>
          <w:sz w:val="28"/>
          <w:szCs w:val="28"/>
        </w:rPr>
        <w:t>[</w:t>
      </w:r>
      <w:r w:rsidR="00F556A6">
        <w:rPr>
          <w:rFonts w:ascii="Times New Roman" w:hAnsi="Times New Roman" w:cs="Times New Roman"/>
          <w:color w:val="202124"/>
          <w:sz w:val="28"/>
          <w:szCs w:val="28"/>
        </w:rPr>
        <w:t>8</w:t>
      </w:r>
      <w:r w:rsidR="00A57A2B" w:rsidRPr="00F556A6">
        <w:rPr>
          <w:rFonts w:ascii="Times New Roman" w:hAnsi="Times New Roman" w:cs="Times New Roman"/>
          <w:color w:val="202124"/>
          <w:sz w:val="28"/>
          <w:szCs w:val="28"/>
        </w:rPr>
        <w:t>]</w:t>
      </w:r>
      <w:r w:rsidR="00F556A6">
        <w:rPr>
          <w:rFonts w:ascii="Times New Roman" w:hAnsi="Times New Roman" w:cs="Times New Roman"/>
          <w:color w:val="202124"/>
          <w:sz w:val="28"/>
          <w:szCs w:val="28"/>
        </w:rPr>
        <w:t>.</w:t>
      </w:r>
    </w:p>
    <w:p w14:paraId="0C211F62" w14:textId="77777777" w:rsidR="00F556A6" w:rsidRDefault="00F556A6" w:rsidP="00A57A2B">
      <w:pPr>
        <w:spacing w:after="0" w:line="240" w:lineRule="auto"/>
        <w:ind w:firstLine="709"/>
        <w:jc w:val="both"/>
        <w:rPr>
          <w:rFonts w:ascii="Times New Roman" w:hAnsi="Times New Roman" w:cs="Times New Roman"/>
          <w:color w:val="202124"/>
          <w:sz w:val="28"/>
          <w:szCs w:val="28"/>
        </w:rPr>
      </w:pPr>
    </w:p>
    <w:p w14:paraId="0C211F63" w14:textId="77777777" w:rsidR="00A57A2B" w:rsidRDefault="00D46D81" w:rsidP="00A57A2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A57A2B" w:rsidRPr="00A57A2B">
        <w:rPr>
          <w:rFonts w:ascii="Times New Roman" w:hAnsi="Times New Roman" w:cs="Times New Roman"/>
          <w:b/>
          <w:sz w:val="28"/>
          <w:szCs w:val="28"/>
        </w:rPr>
        <w:t>Цель исследования:</w:t>
      </w:r>
      <w:r w:rsidR="00A57A2B" w:rsidRPr="005155D5">
        <w:rPr>
          <w:rFonts w:ascii="Times New Roman" w:hAnsi="Times New Roman" w:cs="Times New Roman"/>
          <w:sz w:val="28"/>
          <w:szCs w:val="28"/>
        </w:rPr>
        <w:t xml:space="preserve"> оценка биохимических факторов, цитокинового профиля, состояние микробиоценоза у пациентов с болезнью Альцгеймера.</w:t>
      </w:r>
    </w:p>
    <w:p w14:paraId="0C211F64" w14:textId="77777777" w:rsidR="00F556A6" w:rsidRPr="005155D5" w:rsidRDefault="00F556A6" w:rsidP="00A57A2B">
      <w:pPr>
        <w:spacing w:after="0" w:line="240" w:lineRule="auto"/>
        <w:ind w:firstLine="709"/>
        <w:jc w:val="both"/>
        <w:rPr>
          <w:rFonts w:ascii="Times New Roman" w:hAnsi="Times New Roman" w:cs="Times New Roman"/>
          <w:b/>
          <w:sz w:val="28"/>
          <w:szCs w:val="28"/>
        </w:rPr>
      </w:pPr>
    </w:p>
    <w:p w14:paraId="0C211F65" w14:textId="77777777" w:rsidR="00A57A2B" w:rsidRPr="005155D5" w:rsidRDefault="00D46D81" w:rsidP="00A57A2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57A2B" w:rsidRPr="005155D5">
        <w:rPr>
          <w:rFonts w:ascii="Times New Roman" w:hAnsi="Times New Roman" w:cs="Times New Roman"/>
          <w:b/>
          <w:sz w:val="28"/>
          <w:szCs w:val="28"/>
        </w:rPr>
        <w:t>Задачи исследования:</w:t>
      </w:r>
    </w:p>
    <w:p w14:paraId="0C211F66" w14:textId="77777777" w:rsidR="00A57A2B" w:rsidRPr="005155D5" w:rsidRDefault="00D46D81" w:rsidP="00A57A2B">
      <w:pPr>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F556A6">
        <w:rPr>
          <w:rFonts w:ascii="Times New Roman" w:eastAsia="Times New Roman" w:hAnsi="Times New Roman" w:cs="Times New Roman"/>
          <w:color w:val="222222"/>
          <w:sz w:val="28"/>
          <w:szCs w:val="28"/>
        </w:rPr>
        <w:t>1</w:t>
      </w:r>
      <w:r w:rsidR="00A57A2B" w:rsidRPr="005155D5">
        <w:rPr>
          <w:rFonts w:ascii="Times New Roman" w:eastAsia="Times New Roman" w:hAnsi="Times New Roman" w:cs="Times New Roman"/>
          <w:color w:val="222222"/>
          <w:sz w:val="28"/>
          <w:szCs w:val="28"/>
        </w:rPr>
        <w:t>. Исследовать биохимический профиль (холестерин, триглицериды, ЛПНП, ЛПВП, АЛТ, АСТ, глюкоза, инсулин, СРБ, общий билирубин) в крови у пациентов с болезнью Альцгеймера.</w:t>
      </w:r>
    </w:p>
    <w:p w14:paraId="0C211F67" w14:textId="77777777" w:rsidR="00A57A2B" w:rsidRPr="005155D5" w:rsidRDefault="00D46D81" w:rsidP="00A57A2B">
      <w:pPr>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A57A2B" w:rsidRPr="005155D5">
        <w:rPr>
          <w:rFonts w:ascii="Times New Roman" w:eastAsia="Times New Roman" w:hAnsi="Times New Roman" w:cs="Times New Roman"/>
          <w:color w:val="222222"/>
          <w:sz w:val="28"/>
          <w:szCs w:val="28"/>
        </w:rPr>
        <w:t>2. Исследовать цитокиновый профиль в крови у пациентов с болезнью Альцгеймера.</w:t>
      </w:r>
    </w:p>
    <w:p w14:paraId="0C211F68" w14:textId="77777777" w:rsidR="00A57A2B" w:rsidRPr="005155D5" w:rsidRDefault="00D46D81" w:rsidP="00A57A2B">
      <w:pPr>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A57A2B" w:rsidRPr="005155D5">
        <w:rPr>
          <w:rFonts w:ascii="Times New Roman" w:eastAsia="Times New Roman" w:hAnsi="Times New Roman" w:cs="Times New Roman"/>
          <w:color w:val="222222"/>
          <w:sz w:val="28"/>
          <w:szCs w:val="28"/>
        </w:rPr>
        <w:t>3. Исследовать состояние микробиоценоза кишечника у пациентов с болезнью Альцгеймера.</w:t>
      </w:r>
    </w:p>
    <w:p w14:paraId="0C211F69" w14:textId="77777777" w:rsidR="00A57A2B" w:rsidRPr="005155D5" w:rsidRDefault="00D46D81" w:rsidP="00A57A2B">
      <w:pPr>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A57A2B" w:rsidRPr="005155D5">
        <w:rPr>
          <w:rFonts w:ascii="Times New Roman" w:eastAsia="Times New Roman" w:hAnsi="Times New Roman" w:cs="Times New Roman"/>
          <w:color w:val="222222"/>
          <w:sz w:val="28"/>
          <w:szCs w:val="28"/>
        </w:rPr>
        <w:t>4. Оценить взаимосвязь тяжести клинических проявлений с изменениями микробиоценоза у пациентов с болезнью Альцгеймера.</w:t>
      </w:r>
    </w:p>
    <w:p w14:paraId="0C211F6A" w14:textId="77777777" w:rsidR="00FF7115" w:rsidRPr="00A57A2B" w:rsidRDefault="00A57A2B" w:rsidP="00A57A2B">
      <w:pPr>
        <w:spacing w:after="0" w:line="240" w:lineRule="auto"/>
        <w:ind w:firstLine="709"/>
        <w:jc w:val="both"/>
        <w:rPr>
          <w:rFonts w:ascii="Times New Roman" w:eastAsia="Times New Roman" w:hAnsi="Times New Roman" w:cs="Times New Roman"/>
          <w:color w:val="222222"/>
          <w:sz w:val="28"/>
          <w:szCs w:val="28"/>
        </w:rPr>
      </w:pPr>
      <w:r w:rsidRPr="005155D5">
        <w:rPr>
          <w:rFonts w:ascii="Times New Roman" w:eastAsia="Times New Roman" w:hAnsi="Times New Roman" w:cs="Times New Roman"/>
          <w:color w:val="222222"/>
          <w:sz w:val="28"/>
          <w:szCs w:val="28"/>
        </w:rPr>
        <w:lastRenderedPageBreak/>
        <w:t>5. Оценить взаимосвязь между изменениями микробиоценоза  кишечника с биохимическими показателями и цитокиновым профилем у пациентов с болезнью Альцгеймера.</w:t>
      </w:r>
    </w:p>
    <w:p w14:paraId="0C211F6B" w14:textId="77777777" w:rsidR="00FF7115" w:rsidRPr="00F556A6" w:rsidRDefault="00100319" w:rsidP="00A57A2B">
      <w:pPr>
        <w:spacing w:after="0" w:line="240" w:lineRule="auto"/>
        <w:jc w:val="both"/>
        <w:rPr>
          <w:rFonts w:ascii="Times New Roman" w:hAnsi="Times New Roman" w:cs="Times New Roman"/>
          <w:b/>
          <w:sz w:val="28"/>
          <w:szCs w:val="28"/>
        </w:rPr>
      </w:pPr>
      <w:r w:rsidRPr="00877AFB">
        <w:rPr>
          <w:rFonts w:ascii="Times New Roman" w:hAnsi="Times New Roman" w:cs="Times New Roman"/>
          <w:b/>
          <w:sz w:val="32"/>
          <w:szCs w:val="32"/>
        </w:rPr>
        <w:t xml:space="preserve">         </w:t>
      </w:r>
      <w:r w:rsidR="00D46D81">
        <w:rPr>
          <w:rFonts w:ascii="Times New Roman" w:hAnsi="Times New Roman" w:cs="Times New Roman"/>
          <w:b/>
          <w:sz w:val="32"/>
          <w:szCs w:val="32"/>
        </w:rPr>
        <w:t xml:space="preserve"> </w:t>
      </w:r>
      <w:r w:rsidR="00FF7115" w:rsidRPr="00F556A6">
        <w:rPr>
          <w:rFonts w:ascii="Times New Roman" w:hAnsi="Times New Roman" w:cs="Times New Roman"/>
          <w:b/>
          <w:sz w:val="28"/>
          <w:szCs w:val="28"/>
        </w:rPr>
        <w:t xml:space="preserve">Методы исследования: </w:t>
      </w:r>
    </w:p>
    <w:p w14:paraId="0C211F6C" w14:textId="77777777" w:rsidR="008612DF" w:rsidRPr="00A57A2B" w:rsidRDefault="00F556A6" w:rsidP="00A57A2B">
      <w:pPr>
        <w:spacing w:after="0"/>
        <w:jc w:val="both"/>
        <w:rPr>
          <w:rFonts w:ascii="Times New Roman" w:hAnsi="Times New Roman" w:cs="Times New Roman"/>
          <w:sz w:val="28"/>
          <w:szCs w:val="28"/>
        </w:rPr>
      </w:pPr>
      <w:r>
        <w:rPr>
          <w:rFonts w:ascii="Times New Roman" w:hAnsi="Times New Roman" w:cs="Times New Roman"/>
          <w:sz w:val="28"/>
          <w:szCs w:val="28"/>
        </w:rPr>
        <w:t>1.</w:t>
      </w:r>
      <w:r w:rsidR="008612DF" w:rsidRPr="00A57A2B">
        <w:rPr>
          <w:rFonts w:ascii="Times New Roman" w:hAnsi="Times New Roman" w:cs="Times New Roman"/>
          <w:sz w:val="28"/>
          <w:szCs w:val="28"/>
        </w:rPr>
        <w:t>Верификация диагноза по критериям Национального института старения и Ассоциации болезни Альцгеймера(</w:t>
      </w:r>
      <w:r w:rsidR="008612DF" w:rsidRPr="00A57A2B">
        <w:rPr>
          <w:rFonts w:ascii="Times New Roman" w:hAnsi="Times New Roman" w:cs="Times New Roman"/>
          <w:sz w:val="28"/>
          <w:szCs w:val="28"/>
          <w:lang w:val="en-US"/>
        </w:rPr>
        <w:t>NIA</w:t>
      </w:r>
      <w:r w:rsidR="008612DF" w:rsidRPr="00A57A2B">
        <w:rPr>
          <w:rFonts w:ascii="Times New Roman" w:hAnsi="Times New Roman" w:cs="Times New Roman"/>
          <w:sz w:val="28"/>
          <w:szCs w:val="28"/>
        </w:rPr>
        <w:t>-</w:t>
      </w:r>
      <w:r w:rsidR="008612DF" w:rsidRPr="00A57A2B">
        <w:rPr>
          <w:rFonts w:ascii="Times New Roman" w:hAnsi="Times New Roman" w:cs="Times New Roman"/>
          <w:sz w:val="28"/>
          <w:szCs w:val="28"/>
          <w:lang w:val="en-US"/>
        </w:rPr>
        <w:t>AA</w:t>
      </w:r>
      <w:r w:rsidR="008612DF" w:rsidRPr="00A57A2B">
        <w:rPr>
          <w:rFonts w:ascii="Times New Roman" w:hAnsi="Times New Roman" w:cs="Times New Roman"/>
          <w:sz w:val="28"/>
          <w:szCs w:val="28"/>
        </w:rPr>
        <w:t>)</w:t>
      </w:r>
      <w:r>
        <w:rPr>
          <w:rFonts w:ascii="Times New Roman" w:hAnsi="Times New Roman" w:cs="Times New Roman"/>
          <w:sz w:val="28"/>
          <w:szCs w:val="28"/>
        </w:rPr>
        <w:t xml:space="preserve"> </w:t>
      </w:r>
      <w:r w:rsidRPr="00F556A6">
        <w:rPr>
          <w:rFonts w:ascii="Times New Roman" w:hAnsi="Times New Roman" w:cs="Times New Roman"/>
          <w:color w:val="202124"/>
          <w:sz w:val="28"/>
          <w:szCs w:val="28"/>
        </w:rPr>
        <w:t>[</w:t>
      </w:r>
      <w:r w:rsidR="00D46D81">
        <w:rPr>
          <w:rFonts w:ascii="Times New Roman" w:hAnsi="Times New Roman" w:cs="Times New Roman"/>
          <w:color w:val="202124"/>
          <w:sz w:val="28"/>
          <w:szCs w:val="28"/>
        </w:rPr>
        <w:t>9</w:t>
      </w:r>
      <w:r w:rsidRPr="00F556A6">
        <w:rPr>
          <w:rFonts w:ascii="Times New Roman" w:hAnsi="Times New Roman" w:cs="Times New Roman"/>
          <w:color w:val="202124"/>
          <w:sz w:val="28"/>
          <w:szCs w:val="28"/>
        </w:rPr>
        <w:t>]</w:t>
      </w:r>
      <w:r w:rsidR="00D46D81">
        <w:rPr>
          <w:rFonts w:ascii="Times New Roman" w:hAnsi="Times New Roman" w:cs="Times New Roman"/>
          <w:color w:val="202124"/>
          <w:sz w:val="28"/>
          <w:szCs w:val="28"/>
        </w:rPr>
        <w:t>.</w:t>
      </w:r>
    </w:p>
    <w:p w14:paraId="0C211F6D" w14:textId="77777777" w:rsidR="008612DF" w:rsidRPr="00A57A2B" w:rsidRDefault="00F556A6" w:rsidP="00A57A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8612DF" w:rsidRPr="00A57A2B">
        <w:rPr>
          <w:rFonts w:ascii="Times New Roman" w:hAnsi="Times New Roman" w:cs="Times New Roman"/>
          <w:sz w:val="28"/>
          <w:szCs w:val="28"/>
        </w:rPr>
        <w:t xml:space="preserve">.Лабораторные методы исследования: биохимический анализ крови, определение цитокинов в крови, оценка микробиома кишечника. </w:t>
      </w:r>
    </w:p>
    <w:p w14:paraId="0C211F6E" w14:textId="77777777" w:rsidR="00A57A2B" w:rsidRPr="00873D29" w:rsidRDefault="00A57A2B" w:rsidP="00A57A2B">
      <w:pPr>
        <w:spacing w:after="0" w:line="240" w:lineRule="auto"/>
        <w:jc w:val="both"/>
        <w:rPr>
          <w:rFonts w:ascii="Times New Roman" w:hAnsi="Times New Roman" w:cs="Times New Roman"/>
          <w:sz w:val="28"/>
          <w:szCs w:val="28"/>
        </w:rPr>
      </w:pPr>
      <w:r w:rsidRPr="00873D29">
        <w:rPr>
          <w:rFonts w:ascii="Times New Roman" w:hAnsi="Times New Roman" w:cs="Times New Roman"/>
          <w:sz w:val="28"/>
          <w:szCs w:val="28"/>
        </w:rPr>
        <w:t>Лабораторные методы исследования:</w:t>
      </w:r>
    </w:p>
    <w:p w14:paraId="0C211F6F" w14:textId="77777777" w:rsidR="00A57A2B" w:rsidRPr="00873D29" w:rsidRDefault="00284E6D" w:rsidP="00A57A2B">
      <w:pPr>
        <w:spacing w:after="0" w:line="240" w:lineRule="auto"/>
        <w:jc w:val="both"/>
        <w:rPr>
          <w:rFonts w:ascii="Times New Roman" w:hAnsi="Times New Roman" w:cs="Times New Roman"/>
          <w:sz w:val="28"/>
          <w:szCs w:val="28"/>
        </w:rPr>
      </w:pPr>
      <w:r w:rsidRPr="00284E6D">
        <w:rPr>
          <w:rFonts w:ascii="Times New Roman" w:hAnsi="Times New Roman" w:cs="Times New Roman"/>
          <w:sz w:val="28"/>
          <w:szCs w:val="28"/>
        </w:rPr>
        <w:t>-</w:t>
      </w:r>
      <w:r w:rsidR="00A57A2B" w:rsidRPr="00873D29">
        <w:rPr>
          <w:rFonts w:ascii="Times New Roman" w:hAnsi="Times New Roman" w:cs="Times New Roman"/>
          <w:sz w:val="28"/>
          <w:szCs w:val="28"/>
        </w:rPr>
        <w:t>биохимический анализ крови (липидный, углеводный обмен,</w:t>
      </w:r>
    </w:p>
    <w:p w14:paraId="0C211F70" w14:textId="77777777" w:rsidR="00A57A2B" w:rsidRPr="00873D29" w:rsidRDefault="00A57A2B" w:rsidP="00A57A2B">
      <w:pPr>
        <w:spacing w:after="0" w:line="240" w:lineRule="auto"/>
        <w:jc w:val="both"/>
        <w:rPr>
          <w:rFonts w:ascii="Times New Roman" w:hAnsi="Times New Roman" w:cs="Times New Roman"/>
          <w:sz w:val="28"/>
          <w:szCs w:val="28"/>
        </w:rPr>
      </w:pPr>
      <w:r w:rsidRPr="00873D29">
        <w:rPr>
          <w:rFonts w:ascii="Times New Roman" w:hAnsi="Times New Roman" w:cs="Times New Roman"/>
          <w:sz w:val="28"/>
          <w:szCs w:val="28"/>
        </w:rPr>
        <w:t>аминотрансферазы печени);</w:t>
      </w:r>
    </w:p>
    <w:p w14:paraId="0C211F71" w14:textId="77777777" w:rsidR="00A57A2B" w:rsidRPr="00873D29" w:rsidRDefault="00284E6D" w:rsidP="00A57A2B">
      <w:pPr>
        <w:spacing w:after="0" w:line="240" w:lineRule="auto"/>
        <w:jc w:val="both"/>
        <w:rPr>
          <w:rFonts w:ascii="Times New Roman" w:hAnsi="Times New Roman" w:cs="Times New Roman"/>
          <w:sz w:val="28"/>
          <w:szCs w:val="28"/>
        </w:rPr>
      </w:pPr>
      <w:r w:rsidRPr="00284E6D">
        <w:rPr>
          <w:rFonts w:ascii="Times New Roman" w:hAnsi="Times New Roman" w:cs="Times New Roman"/>
          <w:sz w:val="28"/>
          <w:szCs w:val="28"/>
        </w:rPr>
        <w:t>-</w:t>
      </w:r>
      <w:r w:rsidR="00A57A2B" w:rsidRPr="00873D29">
        <w:rPr>
          <w:rFonts w:ascii="Times New Roman" w:hAnsi="Times New Roman" w:cs="Times New Roman"/>
          <w:sz w:val="28"/>
          <w:szCs w:val="28"/>
        </w:rPr>
        <w:t>Оценка уровней экспрессии провоспалительных и противовоспалительных</w:t>
      </w:r>
    </w:p>
    <w:p w14:paraId="0C211F72" w14:textId="77777777" w:rsidR="00A57A2B" w:rsidRPr="00873D29" w:rsidRDefault="00A57A2B" w:rsidP="00A57A2B">
      <w:pPr>
        <w:spacing w:after="0" w:line="240" w:lineRule="auto"/>
        <w:jc w:val="both"/>
        <w:rPr>
          <w:rFonts w:ascii="Times New Roman" w:hAnsi="Times New Roman" w:cs="Times New Roman"/>
          <w:sz w:val="28"/>
          <w:szCs w:val="28"/>
        </w:rPr>
      </w:pPr>
      <w:r w:rsidRPr="00873D29">
        <w:rPr>
          <w:rFonts w:ascii="Times New Roman" w:hAnsi="Times New Roman" w:cs="Times New Roman"/>
          <w:sz w:val="28"/>
          <w:szCs w:val="28"/>
        </w:rPr>
        <w:t>цитокинов в образцах крови с использованием MILLIPLEX Map Human</w:t>
      </w:r>
    </w:p>
    <w:p w14:paraId="0C211F73" w14:textId="77777777" w:rsidR="00A57A2B" w:rsidRPr="006B4053" w:rsidRDefault="00A57A2B" w:rsidP="00A57A2B">
      <w:pPr>
        <w:spacing w:after="0" w:line="240" w:lineRule="auto"/>
        <w:jc w:val="both"/>
        <w:rPr>
          <w:rFonts w:ascii="Times New Roman" w:hAnsi="Times New Roman" w:cs="Times New Roman"/>
          <w:sz w:val="28"/>
          <w:szCs w:val="28"/>
        </w:rPr>
      </w:pPr>
      <w:r w:rsidRPr="00873D29">
        <w:rPr>
          <w:rFonts w:ascii="Times New Roman" w:hAnsi="Times New Roman" w:cs="Times New Roman"/>
          <w:sz w:val="28"/>
          <w:szCs w:val="28"/>
          <w:lang w:val="en-US"/>
        </w:rPr>
        <w:t>Cytokine</w:t>
      </w:r>
      <w:r w:rsidRPr="006B4053">
        <w:rPr>
          <w:rFonts w:ascii="Times New Roman" w:hAnsi="Times New Roman" w:cs="Times New Roman"/>
          <w:sz w:val="28"/>
          <w:szCs w:val="28"/>
        </w:rPr>
        <w:t>/</w:t>
      </w:r>
      <w:r w:rsidRPr="00873D29">
        <w:rPr>
          <w:rFonts w:ascii="Times New Roman" w:hAnsi="Times New Roman" w:cs="Times New Roman"/>
          <w:sz w:val="28"/>
          <w:szCs w:val="28"/>
          <w:lang w:val="en-US"/>
        </w:rPr>
        <w:t>Chemokine</w:t>
      </w:r>
      <w:r w:rsidRPr="006B4053">
        <w:rPr>
          <w:rFonts w:ascii="Times New Roman" w:hAnsi="Times New Roman" w:cs="Times New Roman"/>
          <w:sz w:val="28"/>
          <w:szCs w:val="28"/>
        </w:rPr>
        <w:t xml:space="preserve"> </w:t>
      </w:r>
      <w:r w:rsidRPr="00873D29">
        <w:rPr>
          <w:rFonts w:ascii="Times New Roman" w:hAnsi="Times New Roman" w:cs="Times New Roman"/>
          <w:sz w:val="28"/>
          <w:szCs w:val="28"/>
          <w:lang w:val="en-US"/>
        </w:rPr>
        <w:t>Magnetic</w:t>
      </w:r>
      <w:r w:rsidRPr="006B4053">
        <w:rPr>
          <w:rFonts w:ascii="Times New Roman" w:hAnsi="Times New Roman" w:cs="Times New Roman"/>
          <w:sz w:val="28"/>
          <w:szCs w:val="28"/>
        </w:rPr>
        <w:t xml:space="preserve"> </w:t>
      </w:r>
      <w:r w:rsidRPr="00873D29">
        <w:rPr>
          <w:rFonts w:ascii="Times New Roman" w:hAnsi="Times New Roman" w:cs="Times New Roman"/>
          <w:sz w:val="28"/>
          <w:szCs w:val="28"/>
          <w:lang w:val="en-US"/>
        </w:rPr>
        <w:t>Beas</w:t>
      </w:r>
      <w:r w:rsidRPr="006B4053">
        <w:rPr>
          <w:rFonts w:ascii="Times New Roman" w:hAnsi="Times New Roman" w:cs="Times New Roman"/>
          <w:sz w:val="28"/>
          <w:szCs w:val="28"/>
        </w:rPr>
        <w:t xml:space="preserve"> </w:t>
      </w:r>
      <w:r w:rsidRPr="00873D29">
        <w:rPr>
          <w:rFonts w:ascii="Times New Roman" w:hAnsi="Times New Roman" w:cs="Times New Roman"/>
          <w:sz w:val="28"/>
          <w:szCs w:val="28"/>
          <w:lang w:val="en-US"/>
        </w:rPr>
        <w:t>Panel</w:t>
      </w:r>
      <w:r w:rsidRPr="006B4053">
        <w:rPr>
          <w:rFonts w:ascii="Times New Roman" w:hAnsi="Times New Roman" w:cs="Times New Roman"/>
          <w:sz w:val="28"/>
          <w:szCs w:val="28"/>
        </w:rPr>
        <w:t xml:space="preserve"> </w:t>
      </w:r>
      <w:r w:rsidRPr="00873D29">
        <w:rPr>
          <w:rFonts w:ascii="Times New Roman" w:hAnsi="Times New Roman" w:cs="Times New Roman"/>
          <w:sz w:val="28"/>
          <w:szCs w:val="28"/>
        </w:rPr>
        <w:t>на</w:t>
      </w:r>
      <w:r w:rsidRPr="006B4053">
        <w:rPr>
          <w:rFonts w:ascii="Times New Roman" w:hAnsi="Times New Roman" w:cs="Times New Roman"/>
          <w:sz w:val="28"/>
          <w:szCs w:val="28"/>
        </w:rPr>
        <w:t xml:space="preserve"> </w:t>
      </w:r>
      <w:r w:rsidRPr="00873D29">
        <w:rPr>
          <w:rFonts w:ascii="Times New Roman" w:hAnsi="Times New Roman" w:cs="Times New Roman"/>
          <w:sz w:val="28"/>
          <w:szCs w:val="28"/>
        </w:rPr>
        <w:t>технологии</w:t>
      </w:r>
      <w:r w:rsidRPr="006B4053">
        <w:rPr>
          <w:rFonts w:ascii="Times New Roman" w:hAnsi="Times New Roman" w:cs="Times New Roman"/>
          <w:sz w:val="28"/>
          <w:szCs w:val="28"/>
        </w:rPr>
        <w:t xml:space="preserve"> </w:t>
      </w:r>
      <w:r w:rsidRPr="00873D29">
        <w:rPr>
          <w:rFonts w:ascii="Times New Roman" w:hAnsi="Times New Roman" w:cs="Times New Roman"/>
          <w:sz w:val="28"/>
          <w:szCs w:val="28"/>
          <w:lang w:val="en-US"/>
        </w:rPr>
        <w:t>Luminex</w:t>
      </w:r>
      <w:r w:rsidRPr="006B4053">
        <w:rPr>
          <w:rFonts w:ascii="Times New Roman" w:hAnsi="Times New Roman" w:cs="Times New Roman"/>
          <w:sz w:val="28"/>
          <w:szCs w:val="28"/>
        </w:rPr>
        <w:t xml:space="preserve"> </w:t>
      </w:r>
      <w:r w:rsidRPr="00873D29">
        <w:rPr>
          <w:rFonts w:ascii="Times New Roman" w:hAnsi="Times New Roman" w:cs="Times New Roman"/>
          <w:sz w:val="28"/>
          <w:szCs w:val="28"/>
          <w:lang w:val="en-US"/>
        </w:rPr>
        <w:t>xMAP</w:t>
      </w:r>
      <w:r w:rsidRPr="006B4053">
        <w:rPr>
          <w:rFonts w:ascii="Times New Roman" w:hAnsi="Times New Roman" w:cs="Times New Roman"/>
          <w:sz w:val="28"/>
          <w:szCs w:val="28"/>
        </w:rPr>
        <w:t xml:space="preserve"> </w:t>
      </w:r>
      <w:r>
        <w:rPr>
          <w:rFonts w:ascii="Times New Roman" w:hAnsi="Times New Roman" w:cs="Times New Roman"/>
          <w:sz w:val="28"/>
          <w:szCs w:val="28"/>
        </w:rPr>
        <w:t>согласно</w:t>
      </w:r>
      <w:r w:rsidRPr="006B4053">
        <w:rPr>
          <w:rFonts w:ascii="Times New Roman" w:hAnsi="Times New Roman" w:cs="Times New Roman"/>
          <w:sz w:val="28"/>
          <w:szCs w:val="28"/>
        </w:rPr>
        <w:t xml:space="preserve"> </w:t>
      </w:r>
      <w:r>
        <w:rPr>
          <w:rFonts w:ascii="Times New Roman" w:hAnsi="Times New Roman" w:cs="Times New Roman"/>
          <w:sz w:val="28"/>
          <w:szCs w:val="28"/>
        </w:rPr>
        <w:t>рекомендациям производителя</w:t>
      </w:r>
      <w:r w:rsidRPr="006B4053">
        <w:rPr>
          <w:rFonts w:ascii="Times New Roman" w:hAnsi="Times New Roman" w:cs="Times New Roman"/>
          <w:sz w:val="28"/>
          <w:szCs w:val="28"/>
        </w:rPr>
        <w:t>;</w:t>
      </w:r>
    </w:p>
    <w:p w14:paraId="0C211F74" w14:textId="77777777" w:rsidR="00A57A2B" w:rsidRPr="00873D29" w:rsidRDefault="00284E6D" w:rsidP="00A57A2B">
      <w:pPr>
        <w:spacing w:after="0" w:line="240" w:lineRule="auto"/>
        <w:jc w:val="both"/>
        <w:rPr>
          <w:rFonts w:ascii="Times New Roman" w:hAnsi="Times New Roman" w:cs="Times New Roman"/>
          <w:sz w:val="28"/>
          <w:szCs w:val="28"/>
        </w:rPr>
      </w:pPr>
      <w:r w:rsidRPr="00284E6D">
        <w:rPr>
          <w:rFonts w:ascii="Times New Roman" w:hAnsi="Times New Roman" w:cs="Times New Roman"/>
          <w:sz w:val="28"/>
          <w:szCs w:val="28"/>
        </w:rPr>
        <w:t>-</w:t>
      </w:r>
      <w:r w:rsidR="00A57A2B" w:rsidRPr="00873D29">
        <w:rPr>
          <w:rFonts w:ascii="Times New Roman" w:hAnsi="Times New Roman" w:cs="Times New Roman"/>
          <w:sz w:val="28"/>
          <w:szCs w:val="28"/>
        </w:rPr>
        <w:t>Оценка микробиома кишечника: выделение и амплификация ДНК;</w:t>
      </w:r>
    </w:p>
    <w:p w14:paraId="0C211F75" w14:textId="77777777" w:rsidR="00FC5DB2" w:rsidRDefault="00284E6D" w:rsidP="00A57A2B">
      <w:pPr>
        <w:spacing w:after="0" w:line="240" w:lineRule="auto"/>
        <w:jc w:val="both"/>
        <w:rPr>
          <w:rFonts w:ascii="Times New Roman" w:hAnsi="Times New Roman" w:cs="Times New Roman"/>
          <w:sz w:val="28"/>
          <w:szCs w:val="28"/>
        </w:rPr>
      </w:pPr>
      <w:r w:rsidRPr="00F30FDA">
        <w:rPr>
          <w:rFonts w:ascii="Times New Roman" w:hAnsi="Times New Roman" w:cs="Times New Roman"/>
          <w:sz w:val="28"/>
          <w:szCs w:val="28"/>
        </w:rPr>
        <w:t>-</w:t>
      </w:r>
      <w:r w:rsidR="00A57A2B" w:rsidRPr="00873D29">
        <w:rPr>
          <w:rFonts w:ascii="Times New Roman" w:hAnsi="Times New Roman" w:cs="Times New Roman"/>
          <w:sz w:val="28"/>
          <w:szCs w:val="28"/>
        </w:rPr>
        <w:t>Секвенирование 16S рРНК;</w:t>
      </w:r>
    </w:p>
    <w:p w14:paraId="0C211F76" w14:textId="77777777" w:rsidR="00A57A2B" w:rsidRDefault="00FC5DB2" w:rsidP="00A57A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A57A2B">
        <w:rPr>
          <w:rFonts w:ascii="Times New Roman" w:hAnsi="Times New Roman" w:cs="Times New Roman"/>
          <w:sz w:val="28"/>
          <w:szCs w:val="28"/>
        </w:rPr>
        <w:t>.</w:t>
      </w:r>
      <w:r w:rsidR="00A57A2B" w:rsidRPr="00873D29">
        <w:rPr>
          <w:rFonts w:ascii="Times New Roman" w:hAnsi="Times New Roman" w:cs="Times New Roman"/>
          <w:sz w:val="28"/>
          <w:szCs w:val="28"/>
        </w:rPr>
        <w:t>Статистический метод обработки и биоинформатический анализ полученных данных.</w:t>
      </w:r>
    </w:p>
    <w:p w14:paraId="0C211F77" w14:textId="77777777" w:rsidR="00A57A2B" w:rsidRPr="00A57A2B" w:rsidRDefault="00D46D81" w:rsidP="00A57A2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57A2B" w:rsidRPr="00A57A2B">
        <w:rPr>
          <w:rFonts w:ascii="Times New Roman" w:hAnsi="Times New Roman" w:cs="Times New Roman"/>
          <w:b/>
          <w:sz w:val="28"/>
          <w:szCs w:val="28"/>
        </w:rPr>
        <w:t>Дизайн исследования:</w:t>
      </w:r>
      <w:r w:rsidR="00A57A2B" w:rsidRPr="00A57A2B">
        <w:rPr>
          <w:rFonts w:ascii="Times New Roman" w:hAnsi="Times New Roman" w:cs="Times New Roman"/>
          <w:sz w:val="28"/>
          <w:szCs w:val="28"/>
        </w:rPr>
        <w:t xml:space="preserve"> случай-контроль</w:t>
      </w:r>
    </w:p>
    <w:p w14:paraId="0C211F78" w14:textId="77777777" w:rsidR="00A57A2B" w:rsidRPr="005155D5" w:rsidRDefault="00D46D81" w:rsidP="00A57A2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57A2B" w:rsidRPr="005155D5">
        <w:rPr>
          <w:rFonts w:ascii="Times New Roman" w:hAnsi="Times New Roman" w:cs="Times New Roman"/>
          <w:b/>
          <w:sz w:val="28"/>
          <w:szCs w:val="28"/>
        </w:rPr>
        <w:t>Основные положения, выносимые на защиту:</w:t>
      </w:r>
    </w:p>
    <w:p w14:paraId="0C211F79" w14:textId="77777777" w:rsidR="00A57A2B" w:rsidRPr="005155D5" w:rsidRDefault="00A57A2B" w:rsidP="00A57A2B">
      <w:pPr>
        <w:pStyle w:val="a3"/>
        <w:spacing w:after="0" w:line="240" w:lineRule="auto"/>
        <w:ind w:left="0" w:firstLine="709"/>
        <w:jc w:val="both"/>
        <w:rPr>
          <w:rFonts w:ascii="Times New Roman" w:hAnsi="Times New Roman" w:cs="Times New Roman"/>
          <w:sz w:val="28"/>
          <w:szCs w:val="28"/>
        </w:rPr>
      </w:pPr>
      <w:r w:rsidRPr="005155D5">
        <w:rPr>
          <w:rFonts w:ascii="Times New Roman" w:hAnsi="Times New Roman" w:cs="Times New Roman"/>
          <w:sz w:val="28"/>
          <w:szCs w:val="28"/>
        </w:rPr>
        <w:t>1</w:t>
      </w:r>
      <w:r>
        <w:rPr>
          <w:rFonts w:ascii="Times New Roman" w:hAnsi="Times New Roman" w:cs="Times New Roman"/>
          <w:sz w:val="28"/>
          <w:szCs w:val="28"/>
        </w:rPr>
        <w:t xml:space="preserve">. </w:t>
      </w:r>
      <w:r w:rsidRPr="005155D5">
        <w:rPr>
          <w:rFonts w:ascii="Times New Roman" w:hAnsi="Times New Roman" w:cs="Times New Roman"/>
          <w:sz w:val="28"/>
          <w:szCs w:val="28"/>
        </w:rPr>
        <w:t>Биохимический профиль крови у пациентов с болезнью Альцгеймера</w:t>
      </w:r>
      <w:r>
        <w:rPr>
          <w:rFonts w:ascii="Times New Roman" w:hAnsi="Times New Roman" w:cs="Times New Roman"/>
          <w:sz w:val="28"/>
          <w:szCs w:val="28"/>
        </w:rPr>
        <w:t xml:space="preserve"> характеризуется изменением показателей фу</w:t>
      </w:r>
      <w:r w:rsidR="00F556A6">
        <w:rPr>
          <w:rFonts w:ascii="Times New Roman" w:hAnsi="Times New Roman" w:cs="Times New Roman"/>
          <w:sz w:val="28"/>
          <w:szCs w:val="28"/>
        </w:rPr>
        <w:t>нкционального состояния печени,</w:t>
      </w:r>
      <w:r>
        <w:rPr>
          <w:rFonts w:ascii="Times New Roman" w:hAnsi="Times New Roman" w:cs="Times New Roman"/>
          <w:sz w:val="28"/>
          <w:szCs w:val="28"/>
        </w:rPr>
        <w:t xml:space="preserve"> нарушением липидного обмена, нарушением метаболизма инсулина</w:t>
      </w:r>
      <w:r w:rsidRPr="005155D5">
        <w:rPr>
          <w:rFonts w:ascii="Times New Roman" w:hAnsi="Times New Roman" w:cs="Times New Roman"/>
          <w:sz w:val="28"/>
          <w:szCs w:val="28"/>
        </w:rPr>
        <w:t>.</w:t>
      </w:r>
    </w:p>
    <w:p w14:paraId="0C211F7A" w14:textId="77777777" w:rsidR="00A57A2B" w:rsidRDefault="00A57A2B" w:rsidP="00A57A2B">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935C63">
        <w:rPr>
          <w:rFonts w:ascii="Times New Roman" w:hAnsi="Times New Roman" w:cs="Times New Roman"/>
          <w:sz w:val="28"/>
          <w:szCs w:val="28"/>
        </w:rPr>
        <w:t>У пациентов с БА происходит</w:t>
      </w:r>
      <w:r>
        <w:rPr>
          <w:rFonts w:ascii="Times New Roman" w:hAnsi="Times New Roman" w:cs="Times New Roman"/>
          <w:sz w:val="28"/>
          <w:szCs w:val="28"/>
        </w:rPr>
        <w:t xml:space="preserve"> истощение</w:t>
      </w:r>
      <w:r w:rsidRPr="00935C63">
        <w:rPr>
          <w:rFonts w:ascii="Times New Roman" w:hAnsi="Times New Roman" w:cs="Times New Roman"/>
          <w:sz w:val="28"/>
          <w:szCs w:val="28"/>
        </w:rPr>
        <w:t xml:space="preserve"> противовоспалительного звена иммунитета, более выраженное чем у людей пожилого возраста без когнитивных нарушений. </w:t>
      </w:r>
    </w:p>
    <w:p w14:paraId="0C211F7B" w14:textId="77777777" w:rsidR="00A57A2B" w:rsidRPr="00935C63" w:rsidRDefault="00A57A2B" w:rsidP="00A57A2B">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935C63">
        <w:rPr>
          <w:rFonts w:ascii="Times New Roman" w:hAnsi="Times New Roman" w:cs="Times New Roman"/>
          <w:sz w:val="28"/>
          <w:szCs w:val="28"/>
        </w:rPr>
        <w:t xml:space="preserve">У пациентов с БА </w:t>
      </w:r>
      <w:r w:rsidR="00FC5DB2">
        <w:rPr>
          <w:rFonts w:ascii="Times New Roman" w:hAnsi="Times New Roman" w:cs="Times New Roman"/>
          <w:sz w:val="28"/>
          <w:szCs w:val="28"/>
        </w:rPr>
        <w:t>фиксируется кишечный дисб</w:t>
      </w:r>
      <w:r>
        <w:rPr>
          <w:rFonts w:ascii="Times New Roman" w:hAnsi="Times New Roman" w:cs="Times New Roman"/>
          <w:sz w:val="28"/>
          <w:szCs w:val="28"/>
        </w:rPr>
        <w:t xml:space="preserve">иоз, проявляющийся значительными различиями в численности фекальных бактерий на уровне типа, класса, порядка и рода по сравнению с людьми пожилого возраста </w:t>
      </w:r>
      <w:r w:rsidRPr="00935C63">
        <w:rPr>
          <w:rFonts w:ascii="Times New Roman" w:hAnsi="Times New Roman" w:cs="Times New Roman"/>
          <w:sz w:val="28"/>
          <w:szCs w:val="28"/>
        </w:rPr>
        <w:t>без когнитивных нарушений.</w:t>
      </w:r>
    </w:p>
    <w:p w14:paraId="0C211F7C" w14:textId="77777777" w:rsidR="00A57A2B" w:rsidRDefault="00A57A2B" w:rsidP="00A57A2B">
      <w:pPr>
        <w:pStyle w:val="a3"/>
        <w:spacing w:after="0" w:line="240" w:lineRule="auto"/>
        <w:jc w:val="both"/>
        <w:rPr>
          <w:rFonts w:ascii="Times New Roman" w:hAnsi="Times New Roman" w:cs="Times New Roman"/>
          <w:sz w:val="28"/>
          <w:szCs w:val="28"/>
        </w:rPr>
      </w:pPr>
    </w:p>
    <w:p w14:paraId="0C211F7D" w14:textId="77777777" w:rsidR="00A57A2B" w:rsidRPr="00F556A6" w:rsidRDefault="00D46D81" w:rsidP="00F556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57A2B" w:rsidRPr="00F556A6">
        <w:rPr>
          <w:rFonts w:ascii="Times New Roman" w:hAnsi="Times New Roman" w:cs="Times New Roman"/>
          <w:b/>
          <w:sz w:val="28"/>
          <w:szCs w:val="28"/>
        </w:rPr>
        <w:t>Выводы:</w:t>
      </w:r>
    </w:p>
    <w:p w14:paraId="0C211F7E" w14:textId="77777777" w:rsidR="00A57A2B" w:rsidRPr="00A57A2B" w:rsidRDefault="00F556A6" w:rsidP="00D46D81">
      <w:pPr>
        <w:pStyle w:val="a3"/>
        <w:spacing w:after="0" w:line="240" w:lineRule="auto"/>
        <w:ind w:left="0" w:hanging="720"/>
        <w:jc w:val="both"/>
        <w:rPr>
          <w:rFonts w:ascii="Times New Roman" w:hAnsi="Times New Roman" w:cs="Times New Roman"/>
          <w:sz w:val="28"/>
          <w:szCs w:val="28"/>
        </w:rPr>
      </w:pPr>
      <w:r>
        <w:rPr>
          <w:rFonts w:ascii="Times New Roman" w:hAnsi="Times New Roman" w:cs="Times New Roman"/>
          <w:sz w:val="28"/>
          <w:szCs w:val="28"/>
        </w:rPr>
        <w:t xml:space="preserve">          1</w:t>
      </w:r>
      <w:r w:rsidR="00A57A2B" w:rsidRPr="00A57A2B">
        <w:rPr>
          <w:rFonts w:ascii="Times New Roman" w:hAnsi="Times New Roman" w:cs="Times New Roman"/>
          <w:sz w:val="28"/>
          <w:szCs w:val="28"/>
        </w:rPr>
        <w:t xml:space="preserve">. У пациентов с БА наблюдается повышение ЛПНП на 11%(р=0,04), снижение АЛТ на 17%(р&lt;0,0001), АСТ на 5%(р&lt;0,0001), инсулина на 34%(р=0,04), повышение коэффициента де Ритиса на 15% по сравнению с группой сравнения. </w:t>
      </w:r>
    </w:p>
    <w:p w14:paraId="0C211F7F" w14:textId="77777777" w:rsidR="00A57A2B" w:rsidRPr="00A57A2B" w:rsidRDefault="00F556A6" w:rsidP="00F556A6">
      <w:pPr>
        <w:pStyle w:val="a3"/>
        <w:spacing w:after="0" w:line="240" w:lineRule="auto"/>
        <w:ind w:left="0"/>
        <w:jc w:val="both"/>
        <w:rPr>
          <w:rFonts w:ascii="Calibri" w:hAnsi="Calibri" w:cs="Calibri"/>
          <w:sz w:val="28"/>
          <w:szCs w:val="28"/>
        </w:rPr>
      </w:pPr>
      <w:r>
        <w:rPr>
          <w:rFonts w:ascii="Times New Roman" w:hAnsi="Times New Roman" w:cs="Times New Roman"/>
          <w:sz w:val="28"/>
          <w:szCs w:val="28"/>
        </w:rPr>
        <w:t>2</w:t>
      </w:r>
      <w:r w:rsidR="00A57A2B" w:rsidRPr="00A57A2B">
        <w:rPr>
          <w:rFonts w:ascii="Times New Roman" w:hAnsi="Times New Roman" w:cs="Times New Roman"/>
          <w:sz w:val="28"/>
          <w:szCs w:val="28"/>
        </w:rPr>
        <w:t xml:space="preserve">. У пациентов с БА фиксируется истощение противовоспалительного звена иммунитета, которое подтверждается снижением уровня противовоспалительных цитокинов: FGF2 на 10% </w:t>
      </w:r>
      <w:r w:rsidR="00A57A2B" w:rsidRPr="00A57A2B">
        <w:rPr>
          <w:rFonts w:ascii="Times New Roman" w:eastAsia="Times New Roman" w:hAnsi="Times New Roman" w:cs="Times New Roman"/>
          <w:sz w:val="28"/>
          <w:szCs w:val="28"/>
        </w:rPr>
        <w:t>(р=</w:t>
      </w:r>
      <w:r w:rsidR="00A57A2B" w:rsidRPr="00A57A2B">
        <w:rPr>
          <w:rFonts w:ascii="Times New Roman" w:hAnsi="Times New Roman" w:cs="Times New Roman"/>
          <w:sz w:val="28"/>
          <w:szCs w:val="28"/>
        </w:rPr>
        <w:t>0,0005</w:t>
      </w:r>
      <w:r w:rsidR="00A57A2B" w:rsidRPr="00A57A2B">
        <w:rPr>
          <w:rFonts w:ascii="Times New Roman" w:eastAsia="Times New Roman" w:hAnsi="Times New Roman" w:cs="Times New Roman"/>
          <w:color w:val="000000"/>
          <w:sz w:val="28"/>
          <w:szCs w:val="28"/>
        </w:rPr>
        <w:t>)</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PDGFAA</w:t>
      </w:r>
      <w:r w:rsidR="00A57A2B" w:rsidRPr="00A57A2B">
        <w:rPr>
          <w:rFonts w:ascii="Times New Roman" w:hAnsi="Times New Roman" w:cs="Times New Roman"/>
          <w:sz w:val="28"/>
          <w:szCs w:val="28"/>
        </w:rPr>
        <w:t xml:space="preserve"> на 20% </w:t>
      </w:r>
      <w:r w:rsidR="00A57A2B" w:rsidRPr="00A57A2B">
        <w:rPr>
          <w:rFonts w:ascii="Times New Roman" w:eastAsia="Times New Roman" w:hAnsi="Times New Roman" w:cs="Times New Roman"/>
          <w:color w:val="000000"/>
          <w:sz w:val="28"/>
          <w:szCs w:val="28"/>
        </w:rPr>
        <w:t>(р=</w:t>
      </w:r>
      <w:r w:rsidR="00A57A2B" w:rsidRPr="00A57A2B">
        <w:rPr>
          <w:rFonts w:ascii="Times New Roman" w:hAnsi="Times New Roman" w:cs="Times New Roman"/>
          <w:sz w:val="28"/>
          <w:szCs w:val="28"/>
        </w:rPr>
        <w:t>0,006</w:t>
      </w:r>
      <w:r w:rsidR="00A57A2B" w:rsidRPr="00A57A2B">
        <w:rPr>
          <w:rFonts w:ascii="Times New Roman" w:eastAsia="Times New Roman" w:hAnsi="Times New Roman" w:cs="Times New Roman"/>
          <w:color w:val="000000"/>
          <w:sz w:val="28"/>
          <w:szCs w:val="28"/>
        </w:rPr>
        <w:t>)</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PDGF</w:t>
      </w:r>
      <w:r w:rsidR="00A57A2B" w:rsidRPr="00A57A2B">
        <w:rPr>
          <w:rFonts w:ascii="Times New Roman" w:hAnsi="Times New Roman" w:cs="Times New Roman"/>
          <w:sz w:val="28"/>
          <w:szCs w:val="28"/>
        </w:rPr>
        <w:t>.</w:t>
      </w:r>
      <w:r w:rsidR="00A57A2B" w:rsidRPr="00A57A2B">
        <w:rPr>
          <w:rFonts w:ascii="Times New Roman" w:hAnsi="Times New Roman" w:cs="Times New Roman"/>
          <w:sz w:val="28"/>
          <w:szCs w:val="28"/>
          <w:lang w:val="en-US"/>
        </w:rPr>
        <w:t>AB</w:t>
      </w:r>
      <w:r w:rsidR="00A57A2B" w:rsidRPr="00A57A2B">
        <w:rPr>
          <w:rFonts w:ascii="Times New Roman" w:hAnsi="Times New Roman" w:cs="Times New Roman"/>
          <w:sz w:val="28"/>
          <w:szCs w:val="28"/>
        </w:rPr>
        <w:t>.</w:t>
      </w:r>
      <w:r w:rsidR="00A57A2B" w:rsidRPr="00A57A2B">
        <w:rPr>
          <w:rFonts w:ascii="Times New Roman" w:hAnsi="Times New Roman" w:cs="Times New Roman"/>
          <w:sz w:val="28"/>
          <w:szCs w:val="28"/>
          <w:lang w:val="en-US"/>
        </w:rPr>
        <w:t>BB</w:t>
      </w:r>
      <w:r w:rsidR="00A57A2B" w:rsidRPr="00A57A2B">
        <w:rPr>
          <w:rFonts w:ascii="Times New Roman" w:hAnsi="Times New Roman" w:cs="Times New Roman"/>
          <w:sz w:val="28"/>
          <w:szCs w:val="28"/>
        </w:rPr>
        <w:t xml:space="preserve"> на 20% </w:t>
      </w:r>
      <w:r w:rsidR="00A57A2B" w:rsidRPr="00A57A2B">
        <w:rPr>
          <w:rFonts w:ascii="Times New Roman" w:eastAsia="Times New Roman" w:hAnsi="Times New Roman" w:cs="Times New Roman"/>
          <w:color w:val="000000"/>
          <w:sz w:val="28"/>
          <w:szCs w:val="28"/>
        </w:rPr>
        <w:t>(р=</w:t>
      </w:r>
      <w:r w:rsidR="00A57A2B" w:rsidRPr="00A57A2B">
        <w:rPr>
          <w:rFonts w:ascii="Times New Roman" w:hAnsi="Times New Roman" w:cs="Times New Roman"/>
          <w:sz w:val="28"/>
          <w:szCs w:val="28"/>
        </w:rPr>
        <w:t>0,002</w:t>
      </w:r>
      <w:r w:rsidR="00A57A2B" w:rsidRPr="00A57A2B">
        <w:rPr>
          <w:rFonts w:ascii="Times New Roman" w:eastAsia="Times New Roman" w:hAnsi="Times New Roman" w:cs="Times New Roman"/>
          <w:color w:val="000000"/>
          <w:sz w:val="28"/>
          <w:szCs w:val="28"/>
        </w:rPr>
        <w:t>)</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SCD</w:t>
      </w:r>
      <w:r w:rsidR="00A57A2B" w:rsidRPr="00A57A2B">
        <w:rPr>
          <w:rFonts w:ascii="Times New Roman" w:hAnsi="Times New Roman" w:cs="Times New Roman"/>
          <w:sz w:val="28"/>
          <w:szCs w:val="28"/>
        </w:rPr>
        <w:t>40</w:t>
      </w:r>
      <w:r w:rsidR="00A57A2B" w:rsidRPr="00A57A2B">
        <w:rPr>
          <w:rFonts w:ascii="Times New Roman" w:hAnsi="Times New Roman" w:cs="Times New Roman"/>
          <w:sz w:val="28"/>
          <w:szCs w:val="28"/>
          <w:lang w:val="en-US"/>
        </w:rPr>
        <w:t>L</w:t>
      </w:r>
      <w:r w:rsidR="00A57A2B" w:rsidRPr="00A57A2B">
        <w:rPr>
          <w:rFonts w:ascii="Times New Roman" w:hAnsi="Times New Roman" w:cs="Times New Roman"/>
          <w:sz w:val="28"/>
          <w:szCs w:val="28"/>
        </w:rPr>
        <w:t xml:space="preserve"> на 2% </w:t>
      </w:r>
      <w:r w:rsidR="00A57A2B" w:rsidRPr="00A57A2B">
        <w:rPr>
          <w:rFonts w:ascii="Times New Roman" w:eastAsia="Times New Roman" w:hAnsi="Times New Roman" w:cs="Times New Roman"/>
          <w:color w:val="000000"/>
          <w:sz w:val="28"/>
          <w:szCs w:val="28"/>
        </w:rPr>
        <w:t>(р=</w:t>
      </w:r>
      <w:r w:rsidR="00A57A2B" w:rsidRPr="00A57A2B">
        <w:rPr>
          <w:rFonts w:ascii="Times New Roman" w:hAnsi="Times New Roman" w:cs="Times New Roman"/>
          <w:sz w:val="28"/>
          <w:szCs w:val="28"/>
        </w:rPr>
        <w:t>0,01</w:t>
      </w:r>
      <w:r w:rsidR="00A57A2B" w:rsidRPr="00A57A2B">
        <w:rPr>
          <w:rFonts w:ascii="Times New Roman" w:eastAsia="Times New Roman" w:hAnsi="Times New Roman" w:cs="Times New Roman"/>
          <w:color w:val="000000"/>
          <w:sz w:val="28"/>
          <w:szCs w:val="28"/>
        </w:rPr>
        <w:t>)</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RANTES</w:t>
      </w:r>
      <w:r w:rsidR="00A57A2B" w:rsidRPr="00A57A2B">
        <w:rPr>
          <w:rFonts w:ascii="Times New Roman" w:hAnsi="Times New Roman" w:cs="Times New Roman"/>
          <w:sz w:val="28"/>
          <w:szCs w:val="28"/>
        </w:rPr>
        <w:t xml:space="preserve"> на 55% </w:t>
      </w:r>
      <w:r w:rsidR="00A57A2B" w:rsidRPr="00A57A2B">
        <w:rPr>
          <w:rFonts w:ascii="Times New Roman" w:eastAsia="Times New Roman" w:hAnsi="Times New Roman" w:cs="Times New Roman"/>
          <w:color w:val="000000"/>
          <w:sz w:val="28"/>
          <w:szCs w:val="28"/>
        </w:rPr>
        <w:t>(р=</w:t>
      </w:r>
      <w:r w:rsidR="00A57A2B" w:rsidRPr="00A57A2B">
        <w:rPr>
          <w:rFonts w:ascii="Times New Roman" w:hAnsi="Times New Roman" w:cs="Times New Roman"/>
          <w:sz w:val="28"/>
          <w:szCs w:val="28"/>
        </w:rPr>
        <w:t>0,006</w:t>
      </w:r>
      <w:r w:rsidR="00A57A2B" w:rsidRPr="00A57A2B">
        <w:rPr>
          <w:rFonts w:ascii="Times New Roman" w:eastAsia="Times New Roman" w:hAnsi="Times New Roman" w:cs="Times New Roman"/>
          <w:color w:val="000000"/>
          <w:sz w:val="28"/>
          <w:szCs w:val="28"/>
        </w:rPr>
        <w:t>)</w:t>
      </w:r>
      <w:r w:rsidR="00A57A2B" w:rsidRPr="00A57A2B">
        <w:rPr>
          <w:rFonts w:ascii="Times New Roman" w:hAnsi="Times New Roman" w:cs="Times New Roman"/>
          <w:sz w:val="28"/>
          <w:szCs w:val="28"/>
        </w:rPr>
        <w:t xml:space="preserve"> и повышением уровня провоспалительных цитокинов IL12</w:t>
      </w:r>
      <w:r w:rsidR="00A57A2B" w:rsidRPr="00A57A2B">
        <w:rPr>
          <w:rFonts w:ascii="Times New Roman" w:hAnsi="Times New Roman" w:cs="Times New Roman"/>
          <w:sz w:val="28"/>
          <w:szCs w:val="28"/>
          <w:lang w:val="en-US"/>
        </w:rPr>
        <w:t>p</w:t>
      </w:r>
      <w:r w:rsidR="00A57A2B" w:rsidRPr="00A57A2B">
        <w:rPr>
          <w:rFonts w:ascii="Times New Roman" w:hAnsi="Times New Roman" w:cs="Times New Roman"/>
          <w:sz w:val="28"/>
          <w:szCs w:val="28"/>
        </w:rPr>
        <w:t xml:space="preserve">70 в 3 раза (на 65%) </w:t>
      </w:r>
      <w:r w:rsidR="00A57A2B" w:rsidRPr="00A57A2B">
        <w:rPr>
          <w:rFonts w:ascii="Times New Roman" w:eastAsia="Times New Roman" w:hAnsi="Times New Roman" w:cs="Times New Roman"/>
          <w:color w:val="000000"/>
          <w:sz w:val="28"/>
          <w:szCs w:val="28"/>
        </w:rPr>
        <w:t>(р=</w:t>
      </w:r>
      <w:r w:rsidR="00A57A2B" w:rsidRPr="00A57A2B">
        <w:rPr>
          <w:rFonts w:ascii="Times New Roman" w:hAnsi="Times New Roman" w:cs="Times New Roman"/>
          <w:sz w:val="28"/>
          <w:szCs w:val="28"/>
        </w:rPr>
        <w:t>0,02</w:t>
      </w:r>
      <w:r w:rsidR="00A57A2B" w:rsidRPr="00A57A2B">
        <w:rPr>
          <w:rFonts w:ascii="Times New Roman" w:eastAsia="Times New Roman" w:hAnsi="Times New Roman" w:cs="Times New Roman"/>
          <w:color w:val="000000"/>
          <w:sz w:val="28"/>
          <w:szCs w:val="28"/>
        </w:rPr>
        <w:t>) и</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IP</w:t>
      </w:r>
      <w:r w:rsidR="00A57A2B" w:rsidRPr="00A57A2B">
        <w:rPr>
          <w:rFonts w:ascii="Times New Roman" w:hAnsi="Times New Roman" w:cs="Times New Roman"/>
          <w:sz w:val="28"/>
          <w:szCs w:val="28"/>
        </w:rPr>
        <w:t xml:space="preserve">10 на 3% </w:t>
      </w:r>
      <w:r w:rsidR="00A57A2B" w:rsidRPr="00A57A2B">
        <w:rPr>
          <w:rFonts w:ascii="Times New Roman" w:eastAsia="Times New Roman" w:hAnsi="Times New Roman" w:cs="Times New Roman"/>
          <w:color w:val="000000"/>
          <w:sz w:val="28"/>
          <w:szCs w:val="28"/>
        </w:rPr>
        <w:t>(р=</w:t>
      </w:r>
      <w:r w:rsidR="00A57A2B" w:rsidRPr="00A57A2B">
        <w:rPr>
          <w:rFonts w:ascii="Times New Roman" w:hAnsi="Times New Roman" w:cs="Times New Roman"/>
          <w:sz w:val="28"/>
          <w:szCs w:val="28"/>
        </w:rPr>
        <w:t>0,04</w:t>
      </w:r>
      <w:r w:rsidR="00A57A2B" w:rsidRPr="00A57A2B">
        <w:rPr>
          <w:rFonts w:ascii="Times New Roman" w:eastAsia="Times New Roman" w:hAnsi="Times New Roman" w:cs="Times New Roman"/>
          <w:color w:val="000000"/>
          <w:sz w:val="28"/>
          <w:szCs w:val="28"/>
        </w:rPr>
        <w:t>)</w:t>
      </w:r>
      <w:r w:rsidR="00A57A2B" w:rsidRPr="00A57A2B">
        <w:rPr>
          <w:rFonts w:ascii="Times New Roman" w:hAnsi="Times New Roman" w:cs="Times New Roman"/>
          <w:sz w:val="28"/>
          <w:szCs w:val="28"/>
        </w:rPr>
        <w:t xml:space="preserve"> в группе БА по сравнению с группой сравнения. </w:t>
      </w:r>
    </w:p>
    <w:p w14:paraId="0C211F80" w14:textId="77777777" w:rsidR="00A57A2B" w:rsidRPr="00A57A2B" w:rsidRDefault="00F556A6" w:rsidP="00F556A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3</w:t>
      </w:r>
      <w:r w:rsidR="00A57A2B" w:rsidRPr="00A57A2B">
        <w:rPr>
          <w:rFonts w:ascii="Times New Roman" w:hAnsi="Times New Roman" w:cs="Times New Roman"/>
          <w:sz w:val="28"/>
          <w:szCs w:val="28"/>
        </w:rPr>
        <w:t xml:space="preserve">. У пациентов с БА фиксируется кишечный дисбиоз, характеризующийся изменением численности фекальных бактерий Acidomicrobiota </w:t>
      </w:r>
      <w:r w:rsidR="00A57A2B" w:rsidRPr="00A57A2B">
        <w:rPr>
          <w:rFonts w:ascii="Times New Roman" w:eastAsia="Times New Roman" w:hAnsi="Times New Roman" w:cs="Times New Roman"/>
          <w:color w:val="222222"/>
          <w:sz w:val="28"/>
          <w:szCs w:val="28"/>
        </w:rPr>
        <w:t>(p&lt;0,001)</w:t>
      </w:r>
      <w:r w:rsidR="00A57A2B" w:rsidRPr="00A57A2B">
        <w:rPr>
          <w:rFonts w:ascii="Times New Roman" w:hAnsi="Times New Roman" w:cs="Times New Roman"/>
          <w:sz w:val="28"/>
          <w:szCs w:val="28"/>
        </w:rPr>
        <w:t xml:space="preserve">, Verrucomicrobiota </w:t>
      </w:r>
      <w:r w:rsidR="00A57A2B" w:rsidRPr="00A57A2B">
        <w:rPr>
          <w:rFonts w:ascii="Times New Roman" w:eastAsia="Times New Roman" w:hAnsi="Times New Roman" w:cs="Times New Roman"/>
          <w:color w:val="222222"/>
          <w:sz w:val="28"/>
          <w:szCs w:val="28"/>
        </w:rPr>
        <w:t>(p=0,0149)</w:t>
      </w:r>
      <w:r w:rsidR="00A57A2B" w:rsidRPr="00A57A2B">
        <w:rPr>
          <w:rFonts w:ascii="Times New Roman" w:hAnsi="Times New Roman" w:cs="Times New Roman"/>
          <w:sz w:val="28"/>
          <w:szCs w:val="28"/>
        </w:rPr>
        <w:t xml:space="preserve">, Planctomycetota </w:t>
      </w:r>
      <w:r w:rsidR="00A57A2B" w:rsidRPr="00A57A2B">
        <w:rPr>
          <w:rFonts w:ascii="Times New Roman" w:eastAsia="Times New Roman" w:hAnsi="Times New Roman" w:cs="Times New Roman"/>
          <w:color w:val="222222"/>
          <w:sz w:val="28"/>
          <w:szCs w:val="28"/>
        </w:rPr>
        <w:t xml:space="preserve">(p=0,0292) </w:t>
      </w:r>
      <w:r w:rsidR="00A57A2B" w:rsidRPr="00A57A2B">
        <w:rPr>
          <w:rFonts w:ascii="Times New Roman" w:hAnsi="Times New Roman" w:cs="Times New Roman"/>
          <w:sz w:val="28"/>
          <w:szCs w:val="28"/>
        </w:rPr>
        <w:t xml:space="preserve">и Synergistota </w:t>
      </w:r>
      <w:r w:rsidR="00A57A2B" w:rsidRPr="00A57A2B">
        <w:rPr>
          <w:rFonts w:ascii="Times New Roman" w:eastAsia="Times New Roman" w:hAnsi="Times New Roman" w:cs="Times New Roman"/>
          <w:color w:val="222222"/>
          <w:sz w:val="28"/>
          <w:szCs w:val="28"/>
        </w:rPr>
        <w:t xml:space="preserve">(p=0,0033) </w:t>
      </w:r>
      <w:r w:rsidR="00A57A2B" w:rsidRPr="00A57A2B">
        <w:rPr>
          <w:rFonts w:ascii="Times New Roman" w:hAnsi="Times New Roman" w:cs="Times New Roman"/>
          <w:sz w:val="28"/>
          <w:szCs w:val="28"/>
        </w:rPr>
        <w:t xml:space="preserve">у пациентов с БА. Среди родов бактерий микробиота участника БА понижены количество Bifidobacterium </w:t>
      </w:r>
      <w:r w:rsidR="00A57A2B" w:rsidRPr="00A57A2B">
        <w:rPr>
          <w:rFonts w:ascii="Times New Roman" w:eastAsia="Times New Roman" w:hAnsi="Times New Roman" w:cs="Times New Roman"/>
          <w:color w:val="222222"/>
          <w:sz w:val="28"/>
          <w:szCs w:val="28"/>
        </w:rPr>
        <w:t>(p=0,0204)</w:t>
      </w:r>
      <w:r w:rsidR="00A57A2B" w:rsidRPr="00A57A2B">
        <w:rPr>
          <w:rFonts w:ascii="Times New Roman" w:hAnsi="Times New Roman" w:cs="Times New Roman"/>
          <w:sz w:val="28"/>
          <w:szCs w:val="28"/>
        </w:rPr>
        <w:t xml:space="preserve">, Clostridia бактерии </w:t>
      </w:r>
      <w:r w:rsidR="00A57A2B" w:rsidRPr="00A57A2B">
        <w:rPr>
          <w:rFonts w:ascii="Times New Roman" w:eastAsia="Times New Roman" w:hAnsi="Times New Roman" w:cs="Times New Roman"/>
          <w:color w:val="222222"/>
          <w:sz w:val="28"/>
          <w:szCs w:val="28"/>
        </w:rPr>
        <w:t>(p=0,0264)</w:t>
      </w:r>
      <w:r w:rsidR="00A57A2B" w:rsidRPr="00A57A2B">
        <w:rPr>
          <w:rFonts w:ascii="Times New Roman" w:hAnsi="Times New Roman" w:cs="Times New Roman"/>
          <w:sz w:val="28"/>
          <w:szCs w:val="28"/>
        </w:rPr>
        <w:t xml:space="preserve">, Castellaniella </w:t>
      </w:r>
      <w:r w:rsidR="00A57A2B" w:rsidRPr="00A57A2B">
        <w:rPr>
          <w:rFonts w:ascii="Times New Roman" w:eastAsia="Times New Roman" w:hAnsi="Times New Roman" w:cs="Times New Roman"/>
          <w:color w:val="222222"/>
          <w:sz w:val="28"/>
          <w:szCs w:val="28"/>
        </w:rPr>
        <w:t>(p=0,0019</w:t>
      </w:r>
      <w:r w:rsidR="00A57A2B" w:rsidRPr="00A57A2B">
        <w:rPr>
          <w:rFonts w:ascii="Times New Roman" w:eastAsia="Times New Roman" w:hAnsi="Times New Roman" w:cs="Times New Roman"/>
          <w:iCs/>
          <w:color w:val="222222"/>
          <w:sz w:val="28"/>
          <w:szCs w:val="28"/>
        </w:rPr>
        <w:t>)</w:t>
      </w:r>
      <w:r w:rsidR="00A57A2B" w:rsidRPr="00A57A2B">
        <w:rPr>
          <w:rFonts w:ascii="Times New Roman" w:hAnsi="Times New Roman" w:cs="Times New Roman"/>
          <w:sz w:val="28"/>
          <w:szCs w:val="28"/>
        </w:rPr>
        <w:t xml:space="preserve">, Erysipelotrichaceae </w:t>
      </w:r>
      <w:r w:rsidR="00A57A2B" w:rsidRPr="00A57A2B">
        <w:rPr>
          <w:rFonts w:ascii="Times New Roman" w:hAnsi="Times New Roman" w:cs="Times New Roman"/>
          <w:sz w:val="28"/>
          <w:szCs w:val="28"/>
          <w:lang w:val="en-US"/>
        </w:rPr>
        <w:t>UCG</w:t>
      </w:r>
      <w:r w:rsidR="00A57A2B" w:rsidRPr="00A57A2B">
        <w:rPr>
          <w:rFonts w:ascii="Times New Roman" w:hAnsi="Times New Roman" w:cs="Times New Roman"/>
          <w:sz w:val="28"/>
          <w:szCs w:val="28"/>
        </w:rPr>
        <w:t xml:space="preserve">-003 </w:t>
      </w:r>
      <w:r w:rsidR="00A57A2B" w:rsidRPr="00A57A2B">
        <w:rPr>
          <w:rFonts w:ascii="Times New Roman" w:eastAsia="Times New Roman" w:hAnsi="Times New Roman" w:cs="Times New Roman"/>
          <w:color w:val="222222"/>
          <w:sz w:val="28"/>
          <w:szCs w:val="28"/>
        </w:rPr>
        <w:t>(p=0,0066)</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Roseburia</w:t>
      </w:r>
      <w:r w:rsidR="00A57A2B" w:rsidRPr="00A57A2B">
        <w:rPr>
          <w:rFonts w:ascii="Times New Roman" w:hAnsi="Times New Roman" w:cs="Times New Roman"/>
          <w:sz w:val="28"/>
          <w:szCs w:val="28"/>
        </w:rPr>
        <w:t xml:space="preserve"> </w:t>
      </w:r>
      <w:r w:rsidR="00A57A2B" w:rsidRPr="00A57A2B">
        <w:rPr>
          <w:rFonts w:ascii="Times New Roman" w:eastAsia="Times New Roman" w:hAnsi="Times New Roman" w:cs="Times New Roman"/>
          <w:color w:val="222222"/>
          <w:sz w:val="28"/>
          <w:szCs w:val="28"/>
        </w:rPr>
        <w:t>(p=0,0098)</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Tuzerella</w:t>
      </w:r>
      <w:r w:rsidR="00A57A2B" w:rsidRPr="00A57A2B">
        <w:rPr>
          <w:rFonts w:ascii="Times New Roman" w:hAnsi="Times New Roman" w:cs="Times New Roman"/>
          <w:sz w:val="28"/>
          <w:szCs w:val="28"/>
        </w:rPr>
        <w:t xml:space="preserve"> </w:t>
      </w:r>
      <w:r w:rsidR="00A57A2B" w:rsidRPr="00A57A2B">
        <w:rPr>
          <w:rFonts w:ascii="Times New Roman" w:eastAsia="Times New Roman" w:hAnsi="Times New Roman" w:cs="Times New Roman"/>
          <w:color w:val="222222"/>
          <w:sz w:val="28"/>
          <w:szCs w:val="28"/>
        </w:rPr>
        <w:t>(p=0,0038)</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Lactobacillaceae</w:t>
      </w:r>
      <w:r w:rsidR="00A57A2B" w:rsidRPr="00A57A2B">
        <w:rPr>
          <w:rFonts w:ascii="Times New Roman" w:hAnsi="Times New Roman" w:cs="Times New Roman"/>
          <w:sz w:val="28"/>
          <w:szCs w:val="28"/>
        </w:rPr>
        <w:t xml:space="preserve"> </w:t>
      </w:r>
      <w:r w:rsidR="00A57A2B" w:rsidRPr="00A57A2B">
        <w:rPr>
          <w:rFonts w:ascii="Times New Roman" w:eastAsia="Times New Roman" w:hAnsi="Times New Roman" w:cs="Times New Roman"/>
          <w:color w:val="222222"/>
          <w:sz w:val="28"/>
          <w:szCs w:val="28"/>
        </w:rPr>
        <w:t>(</w:t>
      </w:r>
      <w:r w:rsidR="00A57A2B" w:rsidRPr="00A57A2B">
        <w:rPr>
          <w:rFonts w:ascii="Times New Roman" w:eastAsia="Times New Roman" w:hAnsi="Times New Roman" w:cs="Times New Roman"/>
          <w:iCs/>
          <w:color w:val="222222"/>
          <w:sz w:val="28"/>
          <w:szCs w:val="28"/>
        </w:rPr>
        <w:t xml:space="preserve">Lactiplantibacillus, Latilactobacillus, Levilactobacillus </w:t>
      </w:r>
      <w:r w:rsidR="00A57A2B" w:rsidRPr="00A57A2B">
        <w:rPr>
          <w:rFonts w:ascii="Times New Roman" w:eastAsia="Times New Roman" w:hAnsi="Times New Roman" w:cs="Times New Roman"/>
          <w:color w:val="222222"/>
          <w:sz w:val="28"/>
          <w:szCs w:val="28"/>
        </w:rPr>
        <w:t xml:space="preserve">p &lt;0,05) </w:t>
      </w:r>
      <w:r w:rsidR="00A57A2B" w:rsidRPr="00A57A2B">
        <w:rPr>
          <w:rFonts w:ascii="Times New Roman" w:hAnsi="Times New Roman" w:cs="Times New Roman"/>
          <w:sz w:val="28"/>
          <w:szCs w:val="28"/>
        </w:rPr>
        <w:t xml:space="preserve">и </w:t>
      </w:r>
      <w:r w:rsidR="00A57A2B" w:rsidRPr="00A57A2B">
        <w:rPr>
          <w:rFonts w:ascii="Times New Roman" w:hAnsi="Times New Roman" w:cs="Times New Roman"/>
          <w:sz w:val="28"/>
          <w:szCs w:val="28"/>
          <w:lang w:val="en-US"/>
        </w:rPr>
        <w:t>Monoglobus</w:t>
      </w:r>
      <w:r w:rsidR="00A57A2B" w:rsidRPr="00A57A2B">
        <w:rPr>
          <w:rFonts w:ascii="Times New Roman" w:hAnsi="Times New Roman" w:cs="Times New Roman"/>
          <w:sz w:val="28"/>
          <w:szCs w:val="28"/>
        </w:rPr>
        <w:t xml:space="preserve"> </w:t>
      </w:r>
      <w:r w:rsidR="00A57A2B" w:rsidRPr="00A57A2B">
        <w:rPr>
          <w:rFonts w:ascii="Times New Roman" w:eastAsia="Times New Roman" w:hAnsi="Times New Roman" w:cs="Times New Roman"/>
          <w:color w:val="222222"/>
          <w:sz w:val="28"/>
          <w:szCs w:val="28"/>
        </w:rPr>
        <w:t>(p=0,0019)</w:t>
      </w:r>
      <w:r w:rsidR="00A57A2B" w:rsidRPr="00A57A2B">
        <w:rPr>
          <w:rFonts w:ascii="Times New Roman" w:hAnsi="Times New Roman" w:cs="Times New Roman"/>
          <w:sz w:val="28"/>
          <w:szCs w:val="28"/>
        </w:rPr>
        <w:t>.</w:t>
      </w:r>
    </w:p>
    <w:p w14:paraId="0C211F81" w14:textId="77777777" w:rsidR="00A57A2B" w:rsidRPr="00A57A2B" w:rsidRDefault="00F556A6" w:rsidP="00F556A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A57A2B" w:rsidRPr="00A57A2B">
        <w:rPr>
          <w:rFonts w:ascii="Times New Roman" w:hAnsi="Times New Roman" w:cs="Times New Roman"/>
          <w:sz w:val="28"/>
          <w:szCs w:val="28"/>
        </w:rPr>
        <w:t>. Между сообществом кишечной микробиоты и тяжестью заболевания имеется корреляционная зависимость. Средняя форма БА коррелировала с Bacteroides (OTU3880), Methylomirabilota (OTU903), некультивируемыми бактериями Clostridiales (OTU2480), Prevotellaceae (OTU726), а тяжелая форма БА коррелировала с Symbiobacteraceae (OTU530), некультивируемыми протеобактериями (OTU3544), Clostridia vadinBB60 (OTU406), Collinsella (OTU2030), Caldilinеales (OTU300), некультивируемые прокариоты Latescibacterota (OTU3172), некультивируемые археи Elusimicrobiota Lineage lib (OTU5211), группа Cristensenellaceae R-7, некультивируемые бактерии Clostridia (OTU1726) и метагеном кишечника (OTU1452). Опираясь на данные результаты, можно предположить о связи между прогрессированием БА и изменениями в составе микробиома кишечника, о роли кишечного дисбиоза в патогенезе БА.</w:t>
      </w:r>
    </w:p>
    <w:p w14:paraId="0C211F82" w14:textId="77777777" w:rsidR="00A57A2B" w:rsidRPr="00A57A2B" w:rsidRDefault="00F556A6" w:rsidP="00F556A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00A57A2B" w:rsidRPr="00A57A2B">
        <w:rPr>
          <w:rFonts w:ascii="Times New Roman" w:hAnsi="Times New Roman" w:cs="Times New Roman"/>
          <w:sz w:val="28"/>
          <w:szCs w:val="28"/>
        </w:rPr>
        <w:t xml:space="preserve">. Установлены корреляционная зависимость между определенными таксонами кишечной микробиоты и такими биохимическими показателями крови как биллирубин, триглицериды и СРБ. В группе БА общий билирубин коррелировал средней отрицательной связью с группой Cristensenellaceae R-7 (OTU117) и Acidobacteriota (OTU249). Наблюдалась средняя отрицательная корреляция СРБ с </w:t>
      </w:r>
      <w:r w:rsidR="00A57A2B" w:rsidRPr="00A57A2B">
        <w:rPr>
          <w:rFonts w:ascii="Times New Roman" w:hAnsi="Times New Roman" w:cs="Times New Roman"/>
          <w:sz w:val="28"/>
          <w:szCs w:val="28"/>
          <w:lang w:val="en-US"/>
        </w:rPr>
        <w:t>Firmicutes</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254), </w:t>
      </w:r>
      <w:r w:rsidR="00A57A2B" w:rsidRPr="00A57A2B">
        <w:rPr>
          <w:rFonts w:ascii="Times New Roman" w:hAnsi="Times New Roman" w:cs="Times New Roman"/>
          <w:sz w:val="28"/>
          <w:szCs w:val="28"/>
          <w:lang w:val="en-US"/>
        </w:rPr>
        <w:t>Acidobacteriales</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324), </w:t>
      </w:r>
      <w:r w:rsidR="00A57A2B" w:rsidRPr="00A57A2B">
        <w:rPr>
          <w:rFonts w:ascii="Times New Roman" w:hAnsi="Times New Roman" w:cs="Times New Roman"/>
          <w:sz w:val="28"/>
          <w:szCs w:val="28"/>
          <w:lang w:val="en-US"/>
        </w:rPr>
        <w:t>Castellaniella</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alcaligenes</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376) и </w:t>
      </w:r>
      <w:r w:rsidR="00A57A2B" w:rsidRPr="00A57A2B">
        <w:rPr>
          <w:rFonts w:ascii="Times New Roman" w:hAnsi="Times New Roman" w:cs="Times New Roman"/>
          <w:sz w:val="28"/>
          <w:szCs w:val="28"/>
          <w:lang w:val="en-US"/>
        </w:rPr>
        <w:t>Lachnospiraceae</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18), тогда как </w:t>
      </w:r>
      <w:r w:rsidR="00A57A2B" w:rsidRPr="00A57A2B">
        <w:rPr>
          <w:rFonts w:ascii="Times New Roman" w:hAnsi="Times New Roman" w:cs="Times New Roman"/>
          <w:sz w:val="28"/>
          <w:szCs w:val="28"/>
          <w:lang w:val="en-US"/>
        </w:rPr>
        <w:t>Cristensenellaceae</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R</w:t>
      </w:r>
      <w:r w:rsidR="00A57A2B" w:rsidRPr="00A57A2B">
        <w:rPr>
          <w:rFonts w:ascii="Times New Roman" w:hAnsi="Times New Roman" w:cs="Times New Roman"/>
          <w:sz w:val="28"/>
          <w:szCs w:val="28"/>
        </w:rPr>
        <w:t>-7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 228) и </w:t>
      </w:r>
      <w:r w:rsidR="00A57A2B" w:rsidRPr="00A57A2B">
        <w:rPr>
          <w:rFonts w:ascii="Times New Roman" w:hAnsi="Times New Roman" w:cs="Times New Roman"/>
          <w:sz w:val="28"/>
          <w:szCs w:val="28"/>
          <w:lang w:val="en-US"/>
        </w:rPr>
        <w:t>Klebsiella</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pneumonia</w:t>
      </w:r>
      <w:r w:rsidR="00A57A2B" w:rsidRPr="00A57A2B">
        <w:rPr>
          <w:rFonts w:ascii="Times New Roman" w:hAnsi="Times New Roman" w:cs="Times New Roman"/>
          <w:sz w:val="28"/>
          <w:szCs w:val="28"/>
        </w:rPr>
        <w:t>(</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585) коррелировали средней положительной связью с СРБ. Билирубин коррелировал средней положительной связью с Castellaniella alcaligenes (OTU376) и некультивируемой Ohtaekwangia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622). Таксоны </w:t>
      </w:r>
      <w:r w:rsidR="00A57A2B" w:rsidRPr="00A57A2B">
        <w:rPr>
          <w:rFonts w:ascii="Times New Roman" w:hAnsi="Times New Roman" w:cs="Times New Roman"/>
          <w:sz w:val="28"/>
          <w:szCs w:val="28"/>
          <w:lang w:val="en-US"/>
        </w:rPr>
        <w:t>Acidimicrobiia</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109) и </w:t>
      </w:r>
      <w:r w:rsidR="00A57A2B" w:rsidRPr="00A57A2B">
        <w:rPr>
          <w:rFonts w:ascii="Times New Roman" w:hAnsi="Times New Roman" w:cs="Times New Roman"/>
          <w:sz w:val="28"/>
          <w:szCs w:val="28"/>
          <w:lang w:val="en-US"/>
        </w:rPr>
        <w:t>Bifidobacterium</w:t>
      </w:r>
      <w:r w:rsidR="00A57A2B" w:rsidRPr="00A57A2B">
        <w:rPr>
          <w:rFonts w:ascii="Times New Roman" w:hAnsi="Times New Roman" w:cs="Times New Roman"/>
          <w:sz w:val="28"/>
          <w:szCs w:val="28"/>
        </w:rPr>
        <w:t xml:space="preserve"> (</w:t>
      </w:r>
      <w:r w:rsidR="00A57A2B" w:rsidRPr="00A57A2B">
        <w:rPr>
          <w:rFonts w:ascii="Times New Roman" w:hAnsi="Times New Roman" w:cs="Times New Roman"/>
          <w:sz w:val="28"/>
          <w:szCs w:val="28"/>
          <w:lang w:val="en-US"/>
        </w:rPr>
        <w:t>OTU</w:t>
      </w:r>
      <w:r w:rsidR="00A57A2B" w:rsidRPr="00A57A2B">
        <w:rPr>
          <w:rFonts w:ascii="Times New Roman" w:hAnsi="Times New Roman" w:cs="Times New Roman"/>
          <w:sz w:val="28"/>
          <w:szCs w:val="28"/>
        </w:rPr>
        <w:t xml:space="preserve">140) коррелировали средней положительной связью, в то время как таксоны Aloprevotella (OTU40) и Monoglobus (OTU271) коррелировали средней отрицательной связью с уровнем триглицеридов в группе сравнения. Выявленная корреляционная зависимость между лабораторными показателями крови и составом микробиоты кишечника указывают на потенциальные взаимосвязи между системным метаболизмом и микробиомом при БА. </w:t>
      </w:r>
    </w:p>
    <w:p w14:paraId="0C211F83" w14:textId="77777777" w:rsidR="00A57A2B" w:rsidRPr="00A57A2B" w:rsidRDefault="00F556A6" w:rsidP="00F556A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00A57A2B" w:rsidRPr="00A57A2B">
        <w:rPr>
          <w:rFonts w:ascii="Times New Roman" w:hAnsi="Times New Roman" w:cs="Times New Roman"/>
          <w:sz w:val="28"/>
          <w:szCs w:val="28"/>
        </w:rPr>
        <w:t xml:space="preserve">. Установлены положительная корреляционная зависимость между IL-13 с Erysipelotrichaceae (р&lt;0,01), Olsenella genomosp (р&lt;0,05) и Gemmatimonadaceae (р&lt;0,05). IL-2 (р&lt;0,01) и IL-17A положительно коррелировали с Erysipelotrichaceae. IL-17A положительно коррелировал с Bacteroidales (р&lt;0,01) и Phyllobacterium (р&lt;0,05). IL-1α положительно коррелировал с </w:t>
      </w:r>
      <w:r w:rsidR="00A57A2B" w:rsidRPr="00A57A2B">
        <w:rPr>
          <w:rFonts w:ascii="Times New Roman" w:hAnsi="Times New Roman" w:cs="Times New Roman"/>
          <w:sz w:val="28"/>
          <w:szCs w:val="28"/>
        </w:rPr>
        <w:lastRenderedPageBreak/>
        <w:t xml:space="preserve">Christensenellaceae R-7 (р&lt;0,01) и Cloacibacillus porcorum (р&lt;0,05), но отрицательно с Bifidobacterium (р&lt;0,001) и Bacilli (р&lt;0,001). IL-10 положительно коррелировал с группой Christensenellaceae R-7 (р&lt;0,01) и отрицательно коррелировал с Bacilli (р&lt;0,05). </w:t>
      </w:r>
    </w:p>
    <w:p w14:paraId="0C211F84" w14:textId="77777777" w:rsidR="00A57A2B" w:rsidRDefault="00A57A2B" w:rsidP="00A57A2B">
      <w:pPr>
        <w:pStyle w:val="EndNoteBibliography"/>
        <w:spacing w:after="0"/>
        <w:ind w:left="720"/>
        <w:rPr>
          <w:rFonts w:ascii="Times New Roman" w:hAnsi="Times New Roman" w:cs="Times New Roman"/>
          <w:sz w:val="28"/>
          <w:szCs w:val="28"/>
          <w:lang w:val="ru-RU"/>
        </w:rPr>
      </w:pPr>
    </w:p>
    <w:p w14:paraId="0C211F85" w14:textId="77777777" w:rsidR="00A57A2B" w:rsidRPr="005155D5" w:rsidRDefault="00D46D81" w:rsidP="00A57A2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57A2B" w:rsidRPr="005155D5">
        <w:rPr>
          <w:rFonts w:ascii="Times New Roman" w:hAnsi="Times New Roman" w:cs="Times New Roman"/>
          <w:b/>
          <w:sz w:val="28"/>
          <w:szCs w:val="28"/>
        </w:rPr>
        <w:t>Научная новизна:</w:t>
      </w:r>
    </w:p>
    <w:p w14:paraId="0C211F86" w14:textId="77777777" w:rsidR="00F556A6" w:rsidRPr="00F327B4" w:rsidRDefault="00D46D81" w:rsidP="00F556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56A6" w:rsidRPr="00F327B4">
        <w:rPr>
          <w:rFonts w:ascii="Times New Roman" w:hAnsi="Times New Roman" w:cs="Times New Roman"/>
          <w:sz w:val="28"/>
          <w:szCs w:val="28"/>
        </w:rPr>
        <w:t xml:space="preserve">Впервые выявлено изменение функционального состояния печени, </w:t>
      </w:r>
      <w:r w:rsidR="00F556A6">
        <w:rPr>
          <w:rFonts w:ascii="Times New Roman" w:hAnsi="Times New Roman" w:cs="Times New Roman"/>
          <w:sz w:val="28"/>
          <w:szCs w:val="28"/>
        </w:rPr>
        <w:t>нарушение липидного обмена, нарушение</w:t>
      </w:r>
      <w:r w:rsidR="00F556A6" w:rsidRPr="00F327B4">
        <w:rPr>
          <w:rFonts w:ascii="Times New Roman" w:hAnsi="Times New Roman" w:cs="Times New Roman"/>
          <w:sz w:val="28"/>
          <w:szCs w:val="28"/>
        </w:rPr>
        <w:t xml:space="preserve"> метаболизма инсулина у пациентов с болезнью Альцгеймера в Казахстанской популяции (Астана; Алматы).</w:t>
      </w:r>
    </w:p>
    <w:p w14:paraId="0C211F87" w14:textId="77777777" w:rsidR="00F556A6" w:rsidRPr="00F327B4" w:rsidRDefault="00D46D81" w:rsidP="00F556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56A6" w:rsidRPr="00F327B4">
        <w:rPr>
          <w:rFonts w:ascii="Times New Roman" w:hAnsi="Times New Roman" w:cs="Times New Roman"/>
          <w:sz w:val="28"/>
          <w:szCs w:val="28"/>
        </w:rPr>
        <w:t xml:space="preserve">Впервые </w:t>
      </w:r>
      <w:r w:rsidR="00F556A6">
        <w:rPr>
          <w:rFonts w:ascii="Times New Roman" w:hAnsi="Times New Roman" w:cs="Times New Roman"/>
          <w:sz w:val="28"/>
          <w:szCs w:val="28"/>
        </w:rPr>
        <w:t>определена характеристика ки</w:t>
      </w:r>
      <w:r w:rsidR="00F556A6" w:rsidRPr="00F327B4">
        <w:rPr>
          <w:rFonts w:ascii="Times New Roman" w:hAnsi="Times New Roman" w:cs="Times New Roman"/>
          <w:sz w:val="28"/>
          <w:szCs w:val="28"/>
        </w:rPr>
        <w:t>шечного дисбиоза</w:t>
      </w:r>
      <w:r w:rsidR="00F556A6">
        <w:rPr>
          <w:rFonts w:ascii="Times New Roman" w:hAnsi="Times New Roman" w:cs="Times New Roman"/>
          <w:sz w:val="28"/>
          <w:szCs w:val="28"/>
        </w:rPr>
        <w:t xml:space="preserve"> </w:t>
      </w:r>
      <w:r w:rsidR="00F556A6" w:rsidRPr="00F327B4">
        <w:rPr>
          <w:rFonts w:ascii="Times New Roman" w:hAnsi="Times New Roman" w:cs="Times New Roman"/>
          <w:sz w:val="28"/>
          <w:szCs w:val="28"/>
        </w:rPr>
        <w:t xml:space="preserve">у пациентов с болезнью Альцгеймера в Казахстанской популяции (Астана; Алматы), </w:t>
      </w:r>
      <w:r w:rsidR="00F556A6">
        <w:rPr>
          <w:rFonts w:ascii="Times New Roman" w:hAnsi="Times New Roman" w:cs="Times New Roman"/>
          <w:sz w:val="28"/>
          <w:szCs w:val="28"/>
        </w:rPr>
        <w:t xml:space="preserve">который проявлялся </w:t>
      </w:r>
      <w:r w:rsidR="00F556A6" w:rsidRPr="00F327B4">
        <w:rPr>
          <w:rFonts w:ascii="Times New Roman" w:hAnsi="Times New Roman" w:cs="Times New Roman"/>
          <w:sz w:val="28"/>
          <w:szCs w:val="28"/>
        </w:rPr>
        <w:t xml:space="preserve">значительными различиями в численности фекальных бактерий на уровне типа, класса, порядка и рода по сравнению с людьми пожилого возраста без когнитивных нарушений. </w:t>
      </w:r>
    </w:p>
    <w:p w14:paraId="0C211F88" w14:textId="77777777" w:rsidR="00F556A6" w:rsidRPr="005155D5" w:rsidRDefault="00D46D81" w:rsidP="00F556A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56A6" w:rsidRPr="00F327B4">
        <w:rPr>
          <w:rFonts w:ascii="Times New Roman" w:hAnsi="Times New Roman" w:cs="Times New Roman"/>
          <w:sz w:val="28"/>
          <w:szCs w:val="28"/>
        </w:rPr>
        <w:t xml:space="preserve">Впервые </w:t>
      </w:r>
      <w:r w:rsidR="00F556A6">
        <w:rPr>
          <w:rFonts w:ascii="Times New Roman" w:hAnsi="Times New Roman" w:cs="Times New Roman"/>
          <w:sz w:val="28"/>
          <w:szCs w:val="28"/>
        </w:rPr>
        <w:t xml:space="preserve">выявлено </w:t>
      </w:r>
      <w:r w:rsidR="00F556A6" w:rsidRPr="00F327B4">
        <w:rPr>
          <w:rFonts w:ascii="Times New Roman" w:hAnsi="Times New Roman" w:cs="Times New Roman"/>
          <w:sz w:val="28"/>
          <w:szCs w:val="28"/>
        </w:rPr>
        <w:t>истощение противовоспалительного звена иммунитета, более выраженное</w:t>
      </w:r>
      <w:r w:rsidR="00F556A6">
        <w:rPr>
          <w:rFonts w:ascii="Times New Roman" w:hAnsi="Times New Roman" w:cs="Times New Roman"/>
          <w:sz w:val="28"/>
          <w:szCs w:val="28"/>
        </w:rPr>
        <w:t xml:space="preserve"> </w:t>
      </w:r>
      <w:r w:rsidR="00F556A6" w:rsidRPr="00F327B4">
        <w:rPr>
          <w:rFonts w:ascii="Times New Roman" w:hAnsi="Times New Roman" w:cs="Times New Roman"/>
          <w:sz w:val="28"/>
          <w:szCs w:val="28"/>
        </w:rPr>
        <w:t>у пациентов с болезнью Альцгеймера в Казахстанской популяции (Астана; Алматы), чем у людей пожилого возраста без когнитивных нарушений</w:t>
      </w:r>
      <w:r w:rsidR="00F556A6">
        <w:rPr>
          <w:rFonts w:ascii="Times New Roman" w:hAnsi="Times New Roman" w:cs="Times New Roman"/>
          <w:sz w:val="28"/>
          <w:szCs w:val="28"/>
        </w:rPr>
        <w:t xml:space="preserve">. </w:t>
      </w:r>
    </w:p>
    <w:p w14:paraId="0C211F89" w14:textId="77777777" w:rsidR="00F556A6" w:rsidRPr="005155D5" w:rsidRDefault="00D46D81" w:rsidP="00F556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56A6" w:rsidRPr="005155D5">
        <w:rPr>
          <w:rFonts w:ascii="Times New Roman" w:hAnsi="Times New Roman" w:cs="Times New Roman"/>
          <w:sz w:val="28"/>
          <w:szCs w:val="28"/>
        </w:rPr>
        <w:t xml:space="preserve">Впервые </w:t>
      </w:r>
      <w:r w:rsidR="00F556A6">
        <w:rPr>
          <w:rFonts w:ascii="Times New Roman" w:hAnsi="Times New Roman" w:cs="Times New Roman"/>
          <w:sz w:val="28"/>
          <w:szCs w:val="28"/>
        </w:rPr>
        <w:t>определена</w:t>
      </w:r>
      <w:r w:rsidR="00F556A6" w:rsidRPr="005155D5">
        <w:rPr>
          <w:rFonts w:ascii="Times New Roman" w:hAnsi="Times New Roman" w:cs="Times New Roman"/>
          <w:sz w:val="28"/>
          <w:szCs w:val="28"/>
        </w:rPr>
        <w:t xml:space="preserve"> ассоциация между кишечным микробиомом с биохимическим  профилем, цитокино</w:t>
      </w:r>
      <w:r w:rsidR="00F556A6">
        <w:rPr>
          <w:rFonts w:ascii="Times New Roman" w:hAnsi="Times New Roman" w:cs="Times New Roman"/>
          <w:sz w:val="28"/>
          <w:szCs w:val="28"/>
        </w:rPr>
        <w:t>вым профилем и степенью тяжести</w:t>
      </w:r>
      <w:r w:rsidR="00F556A6" w:rsidRPr="005155D5">
        <w:rPr>
          <w:rFonts w:ascii="Times New Roman" w:hAnsi="Times New Roman" w:cs="Times New Roman"/>
          <w:sz w:val="28"/>
          <w:szCs w:val="28"/>
        </w:rPr>
        <w:t xml:space="preserve"> заболевания в Казахстанской популяции (Астана</w:t>
      </w:r>
      <w:r w:rsidR="00F556A6">
        <w:rPr>
          <w:rFonts w:ascii="Times New Roman" w:hAnsi="Times New Roman" w:cs="Times New Roman"/>
          <w:sz w:val="28"/>
          <w:szCs w:val="28"/>
        </w:rPr>
        <w:t>;</w:t>
      </w:r>
      <w:r w:rsidR="00F556A6" w:rsidRPr="005155D5">
        <w:rPr>
          <w:rFonts w:ascii="Times New Roman" w:hAnsi="Times New Roman" w:cs="Times New Roman"/>
          <w:sz w:val="28"/>
          <w:szCs w:val="28"/>
        </w:rPr>
        <w:t xml:space="preserve"> Алматы).</w:t>
      </w:r>
    </w:p>
    <w:p w14:paraId="0C211F8A" w14:textId="77777777" w:rsidR="00A57A2B" w:rsidRPr="00DA5017" w:rsidRDefault="00D46D81" w:rsidP="00A57A2B">
      <w:pPr>
        <w:pStyle w:val="EndNoteBibliography"/>
        <w:spacing w:after="0"/>
        <w:ind w:firstLine="709"/>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A57A2B" w:rsidRPr="00DA5017">
        <w:rPr>
          <w:rFonts w:ascii="Times New Roman" w:hAnsi="Times New Roman" w:cs="Times New Roman"/>
          <w:b/>
          <w:sz w:val="28"/>
          <w:szCs w:val="28"/>
          <w:lang w:val="ru-RU"/>
        </w:rPr>
        <w:t>Практическая значимость:</w:t>
      </w:r>
    </w:p>
    <w:p w14:paraId="0C211F8B" w14:textId="77777777" w:rsidR="00A57A2B" w:rsidRPr="003D738C" w:rsidRDefault="00D46D81" w:rsidP="00A57A2B">
      <w:pPr>
        <w:pStyle w:val="EndNoteBibliography"/>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7A2B" w:rsidRPr="003D738C">
        <w:rPr>
          <w:rFonts w:ascii="Times New Roman" w:hAnsi="Times New Roman" w:cs="Times New Roman"/>
          <w:sz w:val="28"/>
          <w:szCs w:val="28"/>
          <w:lang w:val="ru-RU"/>
        </w:rPr>
        <w:t>1.</w:t>
      </w:r>
      <w:r w:rsidR="00A57A2B">
        <w:rPr>
          <w:rFonts w:ascii="Times New Roman" w:hAnsi="Times New Roman" w:cs="Times New Roman"/>
          <w:sz w:val="28"/>
          <w:szCs w:val="28"/>
          <w:lang w:val="ru-RU"/>
        </w:rPr>
        <w:t> </w:t>
      </w:r>
      <w:r w:rsidR="00A57A2B" w:rsidRPr="003D738C">
        <w:rPr>
          <w:rFonts w:ascii="Times New Roman" w:hAnsi="Times New Roman" w:cs="Times New Roman"/>
          <w:sz w:val="28"/>
          <w:szCs w:val="28"/>
          <w:lang w:val="ru-RU"/>
        </w:rPr>
        <w:t>Полученные значимые различия таксонов в микробиоме кишечника у пациентов с БА</w:t>
      </w:r>
      <w:r w:rsidR="00A57A2B">
        <w:rPr>
          <w:rFonts w:ascii="Times New Roman" w:hAnsi="Times New Roman" w:cs="Times New Roman"/>
          <w:sz w:val="28"/>
          <w:szCs w:val="28"/>
          <w:lang w:val="ru-RU"/>
        </w:rPr>
        <w:t xml:space="preserve">, </w:t>
      </w:r>
      <w:r w:rsidR="00A57A2B" w:rsidRPr="003D738C">
        <w:rPr>
          <w:rFonts w:ascii="Times New Roman" w:hAnsi="Times New Roman" w:cs="Times New Roman"/>
          <w:sz w:val="28"/>
          <w:szCs w:val="28"/>
          <w:lang w:val="ru-RU"/>
        </w:rPr>
        <w:t>могут дополнить мировые базы данных о влиянии микробиома кишечника на риски возникновения  БА применительно к казахстанско</w:t>
      </w:r>
      <w:r w:rsidR="00A57A2B">
        <w:rPr>
          <w:rFonts w:ascii="Times New Roman" w:hAnsi="Times New Roman" w:cs="Times New Roman"/>
          <w:sz w:val="28"/>
          <w:szCs w:val="28"/>
          <w:lang w:val="ru-RU"/>
        </w:rPr>
        <w:t>й популяции и разработать в пер</w:t>
      </w:r>
      <w:r w:rsidR="00A57A2B" w:rsidRPr="003D738C">
        <w:rPr>
          <w:rFonts w:ascii="Times New Roman" w:hAnsi="Times New Roman" w:cs="Times New Roman"/>
          <w:sz w:val="28"/>
          <w:szCs w:val="28"/>
          <w:lang w:val="ru-RU"/>
        </w:rPr>
        <w:t>спективе новые стратегии, нацеленные на манипулирование микробиомом для эффективной профилактики и управления болезнью.</w:t>
      </w:r>
    </w:p>
    <w:p w14:paraId="0C211F8C" w14:textId="77777777" w:rsidR="00A57A2B" w:rsidRPr="003D738C" w:rsidRDefault="00D46D81" w:rsidP="00A57A2B">
      <w:pPr>
        <w:pStyle w:val="EndNoteBibliography"/>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7A2B">
        <w:rPr>
          <w:rFonts w:ascii="Times New Roman" w:hAnsi="Times New Roman" w:cs="Times New Roman"/>
          <w:sz w:val="28"/>
          <w:szCs w:val="28"/>
          <w:lang w:val="ru-RU"/>
        </w:rPr>
        <w:t>2</w:t>
      </w:r>
      <w:r w:rsidR="00A57A2B" w:rsidRPr="003D738C">
        <w:rPr>
          <w:rFonts w:ascii="Times New Roman" w:hAnsi="Times New Roman" w:cs="Times New Roman"/>
          <w:sz w:val="28"/>
          <w:szCs w:val="28"/>
          <w:lang w:val="ru-RU"/>
        </w:rPr>
        <w:t>. Результаты биохимического исследования крови у пациентов с БА дают основание для рекомендации по контролю за липидным, углеводным обменом (даже пороговые значения) и состояние функции печени в среднем возрасте с целью снижения рисков заболеваемости возрастной деменцией, включая БА, в пожилом возрасте.</w:t>
      </w:r>
      <w:r w:rsidR="00A57A2B">
        <w:rPr>
          <w:rFonts w:ascii="Times New Roman" w:hAnsi="Times New Roman" w:cs="Times New Roman"/>
          <w:sz w:val="28"/>
          <w:szCs w:val="28"/>
          <w:lang w:val="ru-RU"/>
        </w:rPr>
        <w:t xml:space="preserve"> Акт внедрения результатов научно-практической работы от 18.11.2024 г. </w:t>
      </w:r>
    </w:p>
    <w:p w14:paraId="0C211F8D" w14:textId="77777777" w:rsidR="00A57A2B" w:rsidRDefault="00A57A2B" w:rsidP="00A57A2B">
      <w:pPr>
        <w:pStyle w:val="EndNoteBibliography"/>
        <w:spacing w:after="0"/>
        <w:ind w:left="720"/>
        <w:rPr>
          <w:rFonts w:ascii="Times New Roman" w:hAnsi="Times New Roman" w:cs="Times New Roman"/>
          <w:sz w:val="28"/>
          <w:szCs w:val="28"/>
          <w:lang w:val="ru-RU"/>
        </w:rPr>
      </w:pPr>
    </w:p>
    <w:p w14:paraId="0C211F8E" w14:textId="77777777" w:rsidR="00A57A2B" w:rsidRPr="005155D5" w:rsidRDefault="00D46D81" w:rsidP="00A57A2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57A2B" w:rsidRPr="005155D5">
        <w:rPr>
          <w:rFonts w:ascii="Times New Roman" w:hAnsi="Times New Roman" w:cs="Times New Roman"/>
          <w:b/>
          <w:sz w:val="28"/>
          <w:szCs w:val="28"/>
        </w:rPr>
        <w:t>Личный вклад диссертанта</w:t>
      </w:r>
      <w:r w:rsidR="00A57A2B">
        <w:rPr>
          <w:rFonts w:ascii="Times New Roman" w:hAnsi="Times New Roman" w:cs="Times New Roman"/>
          <w:b/>
          <w:sz w:val="28"/>
          <w:szCs w:val="28"/>
        </w:rPr>
        <w:t xml:space="preserve">. </w:t>
      </w:r>
      <w:r w:rsidR="00A57A2B" w:rsidRPr="005155D5">
        <w:rPr>
          <w:rFonts w:ascii="Times New Roman" w:hAnsi="Times New Roman" w:cs="Times New Roman"/>
          <w:sz w:val="28"/>
          <w:szCs w:val="28"/>
        </w:rPr>
        <w:t xml:space="preserve">Работа выполнена в соответствии с направлением развития науки в области «Науки о жизни и здоровье» утвержденным Высшей научно-технической комиссией при Правительстве Республики Казахстан. Диссертант самостоятельно проводила рекрутинг участников исследования, сбор материал, осуществляла клиническое обследование пациентов с болезнью Альцгеймера, анкетирование всех участников исследованияпо социально-демографическому опроснику, самостоятельно проводила выделение сыворотки крови, участвовала в проведении процедуры анализа цитокинов и хемокинов с использованием </w:t>
      </w:r>
      <w:r w:rsidR="00A57A2B" w:rsidRPr="005155D5">
        <w:rPr>
          <w:rFonts w:ascii="Times New Roman" w:hAnsi="Times New Roman" w:cs="Times New Roman"/>
          <w:sz w:val="28"/>
          <w:szCs w:val="28"/>
          <w:lang w:val="en-US"/>
        </w:rPr>
        <w:lastRenderedPageBreak/>
        <w:t>MILLIPLEX</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Map</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Human</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Cytokine</w:t>
      </w:r>
      <w:r w:rsidR="00A57A2B" w:rsidRPr="005155D5">
        <w:rPr>
          <w:rFonts w:ascii="Times New Roman" w:hAnsi="Times New Roman" w:cs="Times New Roman"/>
          <w:sz w:val="28"/>
          <w:szCs w:val="28"/>
        </w:rPr>
        <w:t>/</w:t>
      </w:r>
      <w:r w:rsidR="00A57A2B" w:rsidRPr="005155D5">
        <w:rPr>
          <w:rFonts w:ascii="Times New Roman" w:hAnsi="Times New Roman" w:cs="Times New Roman"/>
          <w:sz w:val="28"/>
          <w:szCs w:val="28"/>
          <w:lang w:val="en-US"/>
        </w:rPr>
        <w:t>Chemokine</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Magnetic</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Beas</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Panel</w:t>
      </w:r>
      <w:r w:rsidR="00A57A2B" w:rsidRPr="005155D5">
        <w:rPr>
          <w:rFonts w:ascii="Times New Roman" w:hAnsi="Times New Roman" w:cs="Times New Roman"/>
          <w:sz w:val="28"/>
          <w:szCs w:val="28"/>
        </w:rPr>
        <w:t xml:space="preserve"> на технологии </w:t>
      </w:r>
      <w:r w:rsidR="00A57A2B" w:rsidRPr="005155D5">
        <w:rPr>
          <w:rFonts w:ascii="Times New Roman" w:hAnsi="Times New Roman" w:cs="Times New Roman"/>
          <w:sz w:val="28"/>
          <w:szCs w:val="28"/>
          <w:lang w:val="en-US"/>
        </w:rPr>
        <w:t>Luminex</w:t>
      </w:r>
      <w:r w:rsidR="00A57A2B" w:rsidRPr="005155D5">
        <w:rPr>
          <w:rFonts w:ascii="Times New Roman" w:hAnsi="Times New Roman" w:cs="Times New Roman"/>
          <w:sz w:val="28"/>
          <w:szCs w:val="28"/>
        </w:rPr>
        <w:t xml:space="preserve"> </w:t>
      </w:r>
      <w:r w:rsidR="00A57A2B" w:rsidRPr="005155D5">
        <w:rPr>
          <w:rFonts w:ascii="Times New Roman" w:hAnsi="Times New Roman" w:cs="Times New Roman"/>
          <w:sz w:val="28"/>
          <w:szCs w:val="28"/>
          <w:lang w:val="en-US"/>
        </w:rPr>
        <w:t>xMAP</w:t>
      </w:r>
      <w:r w:rsidR="00A57A2B" w:rsidRPr="005155D5">
        <w:rPr>
          <w:rFonts w:ascii="Times New Roman" w:hAnsi="Times New Roman" w:cs="Times New Roman"/>
          <w:sz w:val="28"/>
          <w:szCs w:val="28"/>
        </w:rPr>
        <w:t>, заполнение электронных программ базы данных. Диссертант самостоятельно анализировала и обобщала полученные результаты исследования</w:t>
      </w:r>
      <w:r w:rsidR="00A57A2B">
        <w:rPr>
          <w:rFonts w:ascii="Times New Roman" w:hAnsi="Times New Roman" w:cs="Times New Roman"/>
          <w:sz w:val="28"/>
          <w:szCs w:val="28"/>
        </w:rPr>
        <w:t xml:space="preserve"> (Приложение А)</w:t>
      </w:r>
      <w:r w:rsidR="00A57A2B" w:rsidRPr="005155D5">
        <w:rPr>
          <w:rFonts w:ascii="Times New Roman" w:hAnsi="Times New Roman" w:cs="Times New Roman"/>
          <w:sz w:val="28"/>
          <w:szCs w:val="28"/>
        </w:rPr>
        <w:t>, проводила статистическую обработку данных</w:t>
      </w:r>
      <w:r w:rsidR="00A57A2B">
        <w:rPr>
          <w:rFonts w:ascii="Times New Roman" w:hAnsi="Times New Roman" w:cs="Times New Roman"/>
          <w:sz w:val="28"/>
          <w:szCs w:val="28"/>
        </w:rPr>
        <w:t xml:space="preserve"> (Приложение Б)</w:t>
      </w:r>
      <w:r w:rsidR="00A57A2B" w:rsidRPr="005155D5">
        <w:rPr>
          <w:rFonts w:ascii="Times New Roman" w:hAnsi="Times New Roman" w:cs="Times New Roman"/>
          <w:sz w:val="28"/>
          <w:szCs w:val="28"/>
        </w:rPr>
        <w:t xml:space="preserve">, осуществляла написание статей под руководством научного руководителя и консультантов, самостоятельно переводила статьи на английский язык. Автором материал диссертации просистематизирован, все </w:t>
      </w:r>
      <w:r w:rsidR="00A57A2B">
        <w:rPr>
          <w:rFonts w:ascii="Times New Roman" w:hAnsi="Times New Roman" w:cs="Times New Roman"/>
          <w:sz w:val="28"/>
          <w:szCs w:val="28"/>
        </w:rPr>
        <w:t>разделы</w:t>
      </w:r>
      <w:r w:rsidR="00A57A2B" w:rsidRPr="005155D5">
        <w:rPr>
          <w:rFonts w:ascii="Times New Roman" w:hAnsi="Times New Roman" w:cs="Times New Roman"/>
          <w:sz w:val="28"/>
          <w:szCs w:val="28"/>
        </w:rPr>
        <w:t xml:space="preserve"> работы, соответственно, оформлены и задокументированы.</w:t>
      </w:r>
      <w:r w:rsidR="00A57A2B">
        <w:rPr>
          <w:rFonts w:ascii="Times New Roman" w:hAnsi="Times New Roman" w:cs="Times New Roman"/>
          <w:sz w:val="28"/>
          <w:szCs w:val="28"/>
        </w:rPr>
        <w:t xml:space="preserve"> </w:t>
      </w:r>
    </w:p>
    <w:p w14:paraId="0C211F8F" w14:textId="77777777" w:rsidR="00467437" w:rsidRPr="005155D5" w:rsidRDefault="00D46D81" w:rsidP="0046743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67437" w:rsidRPr="005155D5">
        <w:rPr>
          <w:rFonts w:ascii="Times New Roman" w:hAnsi="Times New Roman" w:cs="Times New Roman"/>
          <w:b/>
          <w:sz w:val="28"/>
          <w:szCs w:val="28"/>
        </w:rPr>
        <w:t>Список научных трудов, опубликованных по теме диссертации</w:t>
      </w:r>
    </w:p>
    <w:p w14:paraId="0C211F90" w14:textId="77777777" w:rsidR="00467437" w:rsidRPr="005155D5" w:rsidRDefault="00D46D81" w:rsidP="00467437">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467437" w:rsidRPr="005155D5">
        <w:rPr>
          <w:rFonts w:ascii="Times New Roman" w:hAnsi="Times New Roman" w:cs="Times New Roman"/>
          <w:sz w:val="28"/>
          <w:szCs w:val="28"/>
        </w:rPr>
        <w:t xml:space="preserve">По материалам диссертации опубликовано 3 печатные работы: </w:t>
      </w:r>
      <w:r w:rsidR="00467437">
        <w:rPr>
          <w:rFonts w:ascii="Times New Roman" w:hAnsi="Times New Roman" w:cs="Times New Roman"/>
          <w:sz w:val="28"/>
          <w:szCs w:val="28"/>
        </w:rPr>
        <w:t xml:space="preserve">1 статья в издании, </w:t>
      </w:r>
      <w:r w:rsidR="00467437" w:rsidRPr="005155D5">
        <w:rPr>
          <w:rFonts w:ascii="Times New Roman" w:hAnsi="Times New Roman" w:cs="Times New Roman"/>
          <w:sz w:val="28"/>
          <w:szCs w:val="28"/>
        </w:rPr>
        <w:t>имеющая 91 процентиль (</w:t>
      </w:r>
      <w:r w:rsidR="00467437" w:rsidRPr="005155D5">
        <w:rPr>
          <w:rFonts w:ascii="Times New Roman" w:hAnsi="Times New Roman" w:cs="Times New Roman"/>
          <w:sz w:val="28"/>
          <w:szCs w:val="28"/>
          <w:lang w:val="en-US"/>
        </w:rPr>
        <w:t>Q</w:t>
      </w:r>
      <w:r w:rsidR="00467437" w:rsidRPr="005155D5">
        <w:rPr>
          <w:rFonts w:ascii="Times New Roman" w:hAnsi="Times New Roman" w:cs="Times New Roman"/>
          <w:sz w:val="28"/>
          <w:szCs w:val="28"/>
        </w:rPr>
        <w:t xml:space="preserve">1) по CiteScore в базе Scopus и 1 статья в издании с 93 процентилем по CiteScore в базе Scopus и 1 статья с 74 процентилем по CiteScore в базе Scopus. Основные результаты исследования и положения диссертации доложены в выступлении на Республиканской конференции с международным участием «Менеджмент неврологических заболеваний, в том числе орфанных» </w:t>
      </w:r>
      <w:r w:rsidR="00467437">
        <w:rPr>
          <w:rFonts w:ascii="Times New Roman" w:hAnsi="Times New Roman" w:cs="Times New Roman"/>
          <w:sz w:val="28"/>
          <w:szCs w:val="28"/>
        </w:rPr>
        <w:t>(</w:t>
      </w:r>
      <w:r w:rsidR="00467437" w:rsidRPr="005155D5">
        <w:rPr>
          <w:rFonts w:ascii="Times New Roman" w:hAnsi="Times New Roman" w:cs="Times New Roman"/>
          <w:sz w:val="28"/>
          <w:szCs w:val="28"/>
        </w:rPr>
        <w:t>Астана</w:t>
      </w:r>
      <w:r w:rsidR="00467437">
        <w:rPr>
          <w:rFonts w:ascii="Times New Roman" w:hAnsi="Times New Roman" w:cs="Times New Roman"/>
          <w:sz w:val="28"/>
          <w:szCs w:val="28"/>
        </w:rPr>
        <w:t xml:space="preserve">, 2022 - </w:t>
      </w:r>
      <w:r w:rsidR="00467437" w:rsidRPr="005155D5">
        <w:rPr>
          <w:rFonts w:ascii="Times New Roman" w:hAnsi="Times New Roman" w:cs="Times New Roman"/>
          <w:sz w:val="28"/>
          <w:szCs w:val="28"/>
        </w:rPr>
        <w:t>29-30 сентября</w:t>
      </w:r>
      <w:r w:rsidR="00467437">
        <w:rPr>
          <w:rFonts w:ascii="Times New Roman" w:hAnsi="Times New Roman" w:cs="Times New Roman"/>
          <w:sz w:val="28"/>
          <w:szCs w:val="28"/>
        </w:rPr>
        <w:t>)</w:t>
      </w:r>
      <w:r w:rsidR="00467437" w:rsidRPr="005155D5">
        <w:rPr>
          <w:rFonts w:ascii="Times New Roman" w:hAnsi="Times New Roman" w:cs="Times New Roman"/>
          <w:sz w:val="28"/>
          <w:szCs w:val="28"/>
        </w:rPr>
        <w:t>.</w:t>
      </w:r>
    </w:p>
    <w:p w14:paraId="0C211F91" w14:textId="77777777" w:rsidR="00A57A2B" w:rsidRPr="00A57A2B" w:rsidRDefault="00A57A2B" w:rsidP="00A57A2B">
      <w:pPr>
        <w:pStyle w:val="EndNoteBibliography"/>
        <w:spacing w:after="0"/>
        <w:ind w:left="720"/>
        <w:rPr>
          <w:rFonts w:ascii="Times New Roman" w:hAnsi="Times New Roman" w:cs="Times New Roman"/>
          <w:sz w:val="28"/>
          <w:szCs w:val="28"/>
          <w:lang w:val="ru-RU"/>
        </w:rPr>
      </w:pPr>
    </w:p>
    <w:p w14:paraId="0C211F92" w14:textId="77777777" w:rsidR="00A57A2B" w:rsidRPr="00877AFB" w:rsidRDefault="00A57A2B" w:rsidP="00BE4283">
      <w:pPr>
        <w:spacing w:after="0" w:line="240" w:lineRule="auto"/>
        <w:jc w:val="both"/>
        <w:rPr>
          <w:rFonts w:ascii="Times New Roman" w:hAnsi="Times New Roman" w:cs="Times New Roman"/>
          <w:sz w:val="32"/>
          <w:szCs w:val="32"/>
        </w:rPr>
      </w:pPr>
    </w:p>
    <w:p w14:paraId="0C211F93" w14:textId="77777777" w:rsidR="00467437" w:rsidRPr="00D81961" w:rsidRDefault="00467437" w:rsidP="00BE4283">
      <w:pPr>
        <w:pStyle w:val="EndNoteBibliography"/>
        <w:spacing w:after="0"/>
        <w:jc w:val="center"/>
        <w:rPr>
          <w:rFonts w:ascii="Times New Roman" w:hAnsi="Times New Roman" w:cs="Times New Roman"/>
          <w:b/>
          <w:sz w:val="28"/>
          <w:szCs w:val="28"/>
        </w:rPr>
      </w:pPr>
      <w:r w:rsidRPr="00D81961">
        <w:rPr>
          <w:rFonts w:ascii="Times New Roman" w:hAnsi="Times New Roman" w:cs="Times New Roman"/>
          <w:b/>
          <w:sz w:val="28"/>
          <w:szCs w:val="28"/>
          <w:lang w:val="ru-RU"/>
        </w:rPr>
        <w:t>СПИСОК</w:t>
      </w:r>
      <w:r w:rsidRPr="00D81961">
        <w:rPr>
          <w:rFonts w:ascii="Times New Roman" w:hAnsi="Times New Roman" w:cs="Times New Roman"/>
          <w:b/>
          <w:sz w:val="28"/>
          <w:szCs w:val="28"/>
        </w:rPr>
        <w:t xml:space="preserve"> </w:t>
      </w:r>
      <w:r w:rsidRPr="00D81961">
        <w:rPr>
          <w:rFonts w:ascii="Times New Roman" w:hAnsi="Times New Roman" w:cs="Times New Roman"/>
          <w:b/>
          <w:sz w:val="28"/>
          <w:szCs w:val="28"/>
          <w:lang w:val="ru-RU"/>
        </w:rPr>
        <w:t>ИСПОЛЬЗОВАННЫХ</w:t>
      </w:r>
      <w:r w:rsidRPr="00C56F23">
        <w:rPr>
          <w:rFonts w:ascii="Times New Roman" w:hAnsi="Times New Roman" w:cs="Times New Roman"/>
          <w:b/>
          <w:sz w:val="28"/>
          <w:szCs w:val="28"/>
        </w:rPr>
        <w:t xml:space="preserve"> </w:t>
      </w:r>
      <w:r w:rsidRPr="00D81961">
        <w:rPr>
          <w:rFonts w:ascii="Times New Roman" w:hAnsi="Times New Roman" w:cs="Times New Roman"/>
          <w:b/>
          <w:sz w:val="28"/>
          <w:szCs w:val="28"/>
          <w:lang w:val="ru-RU"/>
        </w:rPr>
        <w:t>ИСТОЧНИКОВ</w:t>
      </w:r>
    </w:p>
    <w:p w14:paraId="0C211F94" w14:textId="77777777" w:rsidR="00467437" w:rsidRPr="00C56F23" w:rsidRDefault="00467437" w:rsidP="00BE4283">
      <w:pPr>
        <w:pStyle w:val="EndNoteBibliography"/>
        <w:spacing w:after="0"/>
        <w:ind w:left="720" w:hanging="720"/>
        <w:rPr>
          <w:rFonts w:ascii="Times New Roman" w:hAnsi="Times New Roman" w:cs="Times New Roman"/>
          <w:sz w:val="28"/>
          <w:szCs w:val="28"/>
        </w:rPr>
      </w:pPr>
    </w:p>
    <w:p w14:paraId="0C211F95" w14:textId="77777777" w:rsidR="00467437" w:rsidRPr="00490DA9" w:rsidRDefault="00467437" w:rsidP="00BE4283">
      <w:pPr>
        <w:pStyle w:val="EndNoteBibliography"/>
        <w:spacing w:after="0"/>
        <w:ind w:firstLine="709"/>
        <w:rPr>
          <w:rFonts w:ascii="Times New Roman" w:hAnsi="Times New Roman" w:cs="Times New Roman"/>
          <w:sz w:val="28"/>
          <w:szCs w:val="28"/>
        </w:rPr>
      </w:pPr>
      <w:r w:rsidRPr="004740AC">
        <w:rPr>
          <w:rFonts w:ascii="Times New Roman" w:hAnsi="Times New Roman" w:cs="Times New Roman"/>
          <w:sz w:val="28"/>
          <w:szCs w:val="28"/>
        </w:rPr>
        <w:t xml:space="preserve">1 </w:t>
      </w:r>
      <w:r w:rsidRPr="004740AC">
        <w:rPr>
          <w:rFonts w:ascii="Times New Roman" w:hAnsi="Times New Roman" w:cs="Times New Roman"/>
          <w:color w:val="1B1B1B"/>
          <w:sz w:val="28"/>
          <w:szCs w:val="28"/>
          <w:shd w:val="clear" w:color="auto" w:fill="FFFFFF"/>
        </w:rPr>
        <w:t>Alzheimer's disease facts and figures</w:t>
      </w:r>
      <w:r w:rsidRPr="005A14E7">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 xml:space="preserve">/ </w:t>
      </w:r>
      <w:r w:rsidRPr="00490DA9">
        <w:rPr>
          <w:rFonts w:ascii="Times New Roman" w:hAnsi="Times New Roman" w:cs="Times New Roman"/>
          <w:color w:val="1B1B1B"/>
          <w:sz w:val="28"/>
          <w:szCs w:val="28"/>
          <w:shd w:val="clear" w:color="auto" w:fill="FFFFFF"/>
        </w:rPr>
        <w:t xml:space="preserve">Alzheimer Sassociation </w:t>
      </w:r>
      <w:r w:rsidRPr="005A14E7">
        <w:rPr>
          <w:rFonts w:ascii="Times New Roman" w:hAnsi="Times New Roman" w:cs="Times New Roman"/>
          <w:color w:val="1B1B1B"/>
          <w:sz w:val="28"/>
          <w:szCs w:val="28"/>
          <w:shd w:val="clear" w:color="auto" w:fill="FFFFFF"/>
        </w:rPr>
        <w:t>//</w:t>
      </w:r>
      <w:r w:rsidRPr="004740AC">
        <w:rPr>
          <w:rFonts w:ascii="Times New Roman" w:hAnsi="Times New Roman" w:cs="Times New Roman"/>
          <w:color w:val="1B1B1B"/>
          <w:sz w:val="28"/>
          <w:szCs w:val="28"/>
          <w:shd w:val="clear" w:color="auto" w:fill="FFFFFF"/>
        </w:rPr>
        <w:t xml:space="preserve"> Alzheimers Dement. </w:t>
      </w:r>
      <w:r w:rsidRPr="005A14E7">
        <w:rPr>
          <w:rFonts w:ascii="Times New Roman" w:hAnsi="Times New Roman" w:cs="Times New Roman"/>
          <w:color w:val="1B1B1B"/>
          <w:sz w:val="28"/>
          <w:szCs w:val="28"/>
          <w:shd w:val="clear" w:color="auto" w:fill="FFFFFF"/>
        </w:rPr>
        <w:t xml:space="preserve">– </w:t>
      </w:r>
      <w:r w:rsidRPr="004740AC">
        <w:rPr>
          <w:rFonts w:ascii="Times New Roman" w:hAnsi="Times New Roman" w:cs="Times New Roman"/>
          <w:color w:val="1B1B1B"/>
          <w:sz w:val="28"/>
          <w:szCs w:val="28"/>
          <w:shd w:val="clear" w:color="auto" w:fill="FFFFFF"/>
        </w:rPr>
        <w:t>2024</w:t>
      </w:r>
      <w:r w:rsidRPr="005A14E7">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w:t>
      </w:r>
      <w:r w:rsidRPr="005A14E7">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Vol.</w:t>
      </w:r>
      <w:r w:rsidRPr="004740AC">
        <w:rPr>
          <w:rFonts w:ascii="Times New Roman" w:hAnsi="Times New Roman" w:cs="Times New Roman"/>
          <w:color w:val="1B1B1B"/>
          <w:sz w:val="28"/>
          <w:szCs w:val="28"/>
          <w:shd w:val="clear" w:color="auto" w:fill="FFFFFF"/>
        </w:rPr>
        <w:t xml:space="preserve"> 20</w:t>
      </w:r>
      <w:r>
        <w:rPr>
          <w:rFonts w:ascii="Times New Roman" w:hAnsi="Times New Roman" w:cs="Times New Roman"/>
          <w:color w:val="1B1B1B"/>
          <w:sz w:val="28"/>
          <w:szCs w:val="28"/>
          <w:shd w:val="clear" w:color="auto" w:fill="FFFFFF"/>
        </w:rPr>
        <w:t xml:space="preserve">, Issue </w:t>
      </w:r>
      <w:r w:rsidRPr="004740AC">
        <w:rPr>
          <w:rFonts w:ascii="Times New Roman" w:hAnsi="Times New Roman" w:cs="Times New Roman"/>
          <w:color w:val="1B1B1B"/>
          <w:sz w:val="28"/>
          <w:szCs w:val="28"/>
          <w:shd w:val="clear" w:color="auto" w:fill="FFFFFF"/>
        </w:rPr>
        <w:t>5</w:t>
      </w:r>
      <w:r>
        <w:rPr>
          <w:rFonts w:ascii="Times New Roman" w:hAnsi="Times New Roman" w:cs="Times New Roman"/>
          <w:color w:val="1B1B1B"/>
          <w:sz w:val="28"/>
          <w:szCs w:val="28"/>
          <w:shd w:val="clear" w:color="auto" w:fill="FFFFFF"/>
        </w:rPr>
        <w:t xml:space="preserve">. – P. </w:t>
      </w:r>
      <w:r w:rsidRPr="004740AC">
        <w:rPr>
          <w:rFonts w:ascii="Times New Roman" w:hAnsi="Times New Roman" w:cs="Times New Roman"/>
          <w:color w:val="1B1B1B"/>
          <w:sz w:val="28"/>
          <w:szCs w:val="28"/>
          <w:shd w:val="clear" w:color="auto" w:fill="FFFFFF"/>
        </w:rPr>
        <w:t xml:space="preserve">3708-3821. </w:t>
      </w:r>
    </w:p>
    <w:p w14:paraId="0C211F96" w14:textId="77777777" w:rsidR="00467437" w:rsidRPr="00BC3842" w:rsidRDefault="00467437" w:rsidP="00BE4283">
      <w:pPr>
        <w:pStyle w:val="EndNoteBibliography"/>
        <w:spacing w:after="0"/>
        <w:ind w:firstLine="709"/>
        <w:rPr>
          <w:rFonts w:ascii="Times New Roman" w:hAnsi="Times New Roman" w:cs="Times New Roman"/>
          <w:sz w:val="28"/>
          <w:szCs w:val="28"/>
        </w:rPr>
      </w:pPr>
      <w:r w:rsidRPr="00FC3ECD">
        <w:rPr>
          <w:rFonts w:ascii="Times New Roman" w:hAnsi="Times New Roman" w:cs="Times New Roman"/>
          <w:color w:val="1B1B1B"/>
          <w:sz w:val="28"/>
          <w:szCs w:val="28"/>
        </w:rPr>
        <w:t>2 Dementia statistics</w:t>
      </w:r>
      <w:r>
        <w:rPr>
          <w:rFonts w:ascii="Times New Roman" w:hAnsi="Times New Roman" w:cs="Times New Roman"/>
          <w:color w:val="1B1B1B"/>
          <w:sz w:val="28"/>
          <w:szCs w:val="28"/>
        </w:rPr>
        <w:t>:</w:t>
      </w:r>
      <w:r w:rsidRPr="00FC3ECD">
        <w:rPr>
          <w:rFonts w:ascii="Times New Roman" w:hAnsi="Times New Roman" w:cs="Times New Roman"/>
          <w:color w:val="1B1B1B"/>
          <w:sz w:val="28"/>
          <w:szCs w:val="28"/>
        </w:rPr>
        <w:t xml:space="preserve"> How many people have dementia worldwide? Are the numbers increasing? What is the cost of dementia care? </w:t>
      </w:r>
      <w:r>
        <w:rPr>
          <w:rFonts w:ascii="Times New Roman" w:hAnsi="Times New Roman" w:cs="Times New Roman"/>
          <w:color w:val="1B1B1B"/>
          <w:sz w:val="28"/>
          <w:szCs w:val="28"/>
        </w:rPr>
        <w:t xml:space="preserve">// </w:t>
      </w:r>
      <w:hyperlink r:id="rId6" w:history="1">
        <w:r w:rsidRPr="000268F1">
          <w:rPr>
            <w:rStyle w:val="a6"/>
            <w:rFonts w:ascii="Times New Roman" w:eastAsiaTheme="majorEastAsia" w:hAnsi="Times New Roman" w:cs="Times New Roman"/>
            <w:sz w:val="28"/>
            <w:szCs w:val="28"/>
          </w:rPr>
          <w:t>https://www.alzint.org/about/dementia-facts-figures/dementia-statistics/</w:t>
        </w:r>
      </w:hyperlink>
      <w:r w:rsidRPr="000268F1">
        <w:rPr>
          <w:rStyle w:val="a6"/>
          <w:rFonts w:ascii="Times New Roman" w:eastAsiaTheme="majorEastAsia" w:hAnsi="Times New Roman" w:cs="Times New Roman"/>
          <w:sz w:val="28"/>
          <w:szCs w:val="28"/>
        </w:rPr>
        <w:t xml:space="preserve">. </w:t>
      </w:r>
      <w:r w:rsidRPr="00BC3842">
        <w:rPr>
          <w:rStyle w:val="a6"/>
          <w:rFonts w:ascii="Times New Roman" w:eastAsiaTheme="majorEastAsia" w:hAnsi="Times New Roman" w:cs="Times New Roman"/>
          <w:sz w:val="28"/>
          <w:szCs w:val="28"/>
        </w:rPr>
        <w:t>10.10.2024.</w:t>
      </w:r>
    </w:p>
    <w:p w14:paraId="0C211F97" w14:textId="77777777" w:rsidR="00467437" w:rsidRPr="00FC3ECD" w:rsidRDefault="00467437" w:rsidP="00BE4283">
      <w:pPr>
        <w:pStyle w:val="EndNoteBibliography"/>
        <w:tabs>
          <w:tab w:val="left" w:pos="993"/>
        </w:tabs>
        <w:spacing w:after="0"/>
        <w:ind w:firstLine="709"/>
        <w:rPr>
          <w:rFonts w:ascii="Times New Roman" w:hAnsi="Times New Roman" w:cs="Times New Roman"/>
          <w:sz w:val="28"/>
          <w:szCs w:val="28"/>
        </w:rPr>
      </w:pPr>
      <w:r w:rsidRPr="004740AC">
        <w:rPr>
          <w:rFonts w:ascii="Times New Roman" w:hAnsi="Times New Roman" w:cs="Times New Roman"/>
          <w:sz w:val="28"/>
          <w:szCs w:val="28"/>
        </w:rPr>
        <w:t>3 Preobrazhenskaya I</w:t>
      </w:r>
      <w:r>
        <w:rPr>
          <w:rFonts w:ascii="Times New Roman" w:hAnsi="Times New Roman" w:cs="Times New Roman"/>
          <w:sz w:val="28"/>
          <w:szCs w:val="28"/>
        </w:rPr>
        <w:t>.</w:t>
      </w:r>
      <w:r w:rsidRPr="004740AC">
        <w:rPr>
          <w:rFonts w:ascii="Times New Roman" w:hAnsi="Times New Roman" w:cs="Times New Roman"/>
          <w:sz w:val="28"/>
          <w:szCs w:val="28"/>
        </w:rPr>
        <w:t>, Snitskaya N. The development and treatment of Alzheimer’s disease: Some genetic aspects</w:t>
      </w:r>
      <w:r>
        <w:rPr>
          <w:rFonts w:ascii="Times New Roman" w:hAnsi="Times New Roman" w:cs="Times New Roman"/>
          <w:sz w:val="28"/>
          <w:szCs w:val="28"/>
        </w:rPr>
        <w:t xml:space="preserve"> //</w:t>
      </w:r>
      <w:r w:rsidRPr="004740AC">
        <w:rPr>
          <w:rFonts w:ascii="Times New Roman" w:hAnsi="Times New Roman" w:cs="Times New Roman"/>
          <w:sz w:val="28"/>
          <w:szCs w:val="28"/>
        </w:rPr>
        <w:t xml:space="preserve"> Neurology, neuropsychiatry, psychosomatics. </w:t>
      </w:r>
      <w:r>
        <w:rPr>
          <w:rFonts w:ascii="Times New Roman" w:hAnsi="Times New Roman" w:cs="Times New Roman"/>
          <w:sz w:val="28"/>
          <w:szCs w:val="28"/>
        </w:rPr>
        <w:t xml:space="preserve">– </w:t>
      </w:r>
      <w:r w:rsidRPr="004740AC">
        <w:rPr>
          <w:rFonts w:ascii="Times New Roman" w:hAnsi="Times New Roman" w:cs="Times New Roman"/>
          <w:sz w:val="28"/>
          <w:szCs w:val="28"/>
        </w:rPr>
        <w:t>2014</w:t>
      </w:r>
      <w:r>
        <w:rPr>
          <w:rFonts w:ascii="Times New Roman" w:hAnsi="Times New Roman" w:cs="Times New Roman"/>
          <w:sz w:val="28"/>
          <w:szCs w:val="28"/>
        </w:rPr>
        <w:t xml:space="preserve">. – Vol. </w:t>
      </w:r>
      <w:r w:rsidRPr="004740AC">
        <w:rPr>
          <w:rFonts w:ascii="Times New Roman" w:hAnsi="Times New Roman" w:cs="Times New Roman"/>
          <w:sz w:val="28"/>
          <w:szCs w:val="28"/>
        </w:rPr>
        <w:t>6</w:t>
      </w:r>
      <w:r>
        <w:rPr>
          <w:rFonts w:ascii="Times New Roman" w:hAnsi="Times New Roman" w:cs="Times New Roman"/>
          <w:sz w:val="28"/>
          <w:szCs w:val="28"/>
        </w:rPr>
        <w:t xml:space="preserve">, Issue 4. – P. </w:t>
      </w:r>
      <w:r w:rsidRPr="004740AC">
        <w:rPr>
          <w:rFonts w:ascii="Times New Roman" w:hAnsi="Times New Roman" w:cs="Times New Roman"/>
          <w:sz w:val="28"/>
          <w:szCs w:val="28"/>
        </w:rPr>
        <w:t>51</w:t>
      </w:r>
      <w:r>
        <w:rPr>
          <w:rFonts w:ascii="Times New Roman" w:hAnsi="Times New Roman" w:cs="Times New Roman"/>
          <w:sz w:val="28"/>
          <w:szCs w:val="28"/>
        </w:rPr>
        <w:t>-58.</w:t>
      </w:r>
    </w:p>
    <w:p w14:paraId="0C211F98" w14:textId="77777777" w:rsidR="00467437" w:rsidRPr="00517A9E" w:rsidRDefault="00467437" w:rsidP="00BE4283">
      <w:pPr>
        <w:pStyle w:val="1"/>
        <w:numPr>
          <w:ilvl w:val="0"/>
          <w:numId w:val="10"/>
        </w:numPr>
        <w:shd w:val="clear" w:color="auto" w:fill="FFFFFF"/>
        <w:tabs>
          <w:tab w:val="left" w:pos="993"/>
        </w:tabs>
        <w:spacing w:before="0" w:beforeAutospacing="0" w:after="0" w:afterAutospacing="0"/>
        <w:ind w:left="0" w:firstLine="709"/>
        <w:jc w:val="both"/>
        <w:rPr>
          <w:b w:val="0"/>
          <w:sz w:val="28"/>
          <w:szCs w:val="28"/>
          <w:lang w:val="en-US"/>
        </w:rPr>
      </w:pPr>
      <w:r w:rsidRPr="004740AC">
        <w:rPr>
          <w:b w:val="0"/>
          <w:sz w:val="28"/>
          <w:szCs w:val="28"/>
          <w:lang w:val="en-US"/>
        </w:rPr>
        <w:t>Garre-Olmo J. Epidemiology of Alzheimer's disease and other dementias</w:t>
      </w:r>
      <w:r>
        <w:rPr>
          <w:b w:val="0"/>
          <w:sz w:val="28"/>
          <w:szCs w:val="28"/>
          <w:lang w:val="en-US"/>
        </w:rPr>
        <w:t xml:space="preserve"> //</w:t>
      </w:r>
      <w:r w:rsidRPr="004740AC">
        <w:rPr>
          <w:b w:val="0"/>
          <w:sz w:val="28"/>
          <w:szCs w:val="28"/>
          <w:lang w:val="en-US"/>
        </w:rPr>
        <w:t xml:space="preserve"> </w:t>
      </w:r>
      <w:r w:rsidRPr="00490DA9">
        <w:rPr>
          <w:b w:val="0"/>
          <w:sz w:val="28"/>
          <w:szCs w:val="28"/>
          <w:lang w:val="en-US"/>
        </w:rPr>
        <w:t xml:space="preserve">Rev Neurol. </w:t>
      </w:r>
      <w:r>
        <w:rPr>
          <w:b w:val="0"/>
          <w:sz w:val="28"/>
          <w:szCs w:val="28"/>
          <w:lang w:val="en-US"/>
        </w:rPr>
        <w:t xml:space="preserve">– </w:t>
      </w:r>
      <w:r w:rsidRPr="00517A9E">
        <w:rPr>
          <w:b w:val="0"/>
          <w:sz w:val="28"/>
          <w:szCs w:val="28"/>
          <w:lang w:val="en-US"/>
        </w:rPr>
        <w:t>2018</w:t>
      </w:r>
      <w:r>
        <w:rPr>
          <w:b w:val="0"/>
          <w:sz w:val="28"/>
          <w:szCs w:val="28"/>
          <w:lang w:val="en-US"/>
        </w:rPr>
        <w:t xml:space="preserve">/ - Vol. </w:t>
      </w:r>
      <w:r w:rsidRPr="00517A9E">
        <w:rPr>
          <w:b w:val="0"/>
          <w:sz w:val="28"/>
          <w:szCs w:val="28"/>
          <w:lang w:val="en-US"/>
        </w:rPr>
        <w:t>66</w:t>
      </w:r>
      <w:r>
        <w:rPr>
          <w:b w:val="0"/>
          <w:sz w:val="28"/>
          <w:szCs w:val="28"/>
          <w:lang w:val="en-US"/>
        </w:rPr>
        <w:t xml:space="preserve">, Issue </w:t>
      </w:r>
      <w:r w:rsidRPr="00517A9E">
        <w:rPr>
          <w:b w:val="0"/>
          <w:sz w:val="28"/>
          <w:szCs w:val="28"/>
          <w:lang w:val="en-US"/>
        </w:rPr>
        <w:t>11</w:t>
      </w:r>
      <w:r>
        <w:rPr>
          <w:b w:val="0"/>
          <w:sz w:val="28"/>
          <w:szCs w:val="28"/>
          <w:lang w:val="en-US"/>
        </w:rPr>
        <w:t xml:space="preserve">. – P. </w:t>
      </w:r>
      <w:r w:rsidRPr="00517A9E">
        <w:rPr>
          <w:b w:val="0"/>
          <w:sz w:val="28"/>
          <w:szCs w:val="28"/>
          <w:lang w:val="en-US"/>
        </w:rPr>
        <w:t>377-</w:t>
      </w:r>
      <w:r>
        <w:rPr>
          <w:b w:val="0"/>
          <w:sz w:val="28"/>
          <w:szCs w:val="28"/>
          <w:lang w:val="en-US"/>
        </w:rPr>
        <w:t>3</w:t>
      </w:r>
      <w:r w:rsidRPr="00517A9E">
        <w:rPr>
          <w:b w:val="0"/>
          <w:sz w:val="28"/>
          <w:szCs w:val="28"/>
          <w:lang w:val="en-US"/>
        </w:rPr>
        <w:t>86</w:t>
      </w:r>
      <w:r>
        <w:rPr>
          <w:b w:val="0"/>
          <w:sz w:val="28"/>
          <w:szCs w:val="28"/>
          <w:lang w:val="en-US"/>
        </w:rPr>
        <w:t>.</w:t>
      </w:r>
    </w:p>
    <w:p w14:paraId="0C211F99" w14:textId="77777777" w:rsidR="00467437" w:rsidRPr="00517A9E" w:rsidRDefault="00467437" w:rsidP="00BE4283">
      <w:pPr>
        <w:pStyle w:val="1"/>
        <w:shd w:val="clear" w:color="auto" w:fill="FFFFFF"/>
        <w:tabs>
          <w:tab w:val="left" w:pos="993"/>
        </w:tabs>
        <w:spacing w:before="0" w:beforeAutospacing="0" w:after="0" w:afterAutospacing="0"/>
        <w:ind w:firstLine="709"/>
        <w:jc w:val="both"/>
        <w:rPr>
          <w:b w:val="0"/>
          <w:sz w:val="28"/>
          <w:szCs w:val="28"/>
          <w:lang w:val="en-US"/>
        </w:rPr>
      </w:pPr>
      <w:r w:rsidRPr="004740AC">
        <w:rPr>
          <w:b w:val="0"/>
          <w:sz w:val="28"/>
          <w:szCs w:val="28"/>
          <w:lang w:val="en-US"/>
        </w:rPr>
        <w:t>5 Silva M</w:t>
      </w:r>
      <w:r>
        <w:rPr>
          <w:b w:val="0"/>
          <w:sz w:val="28"/>
          <w:szCs w:val="28"/>
          <w:lang w:val="en-US"/>
        </w:rPr>
        <w:t>.</w:t>
      </w:r>
      <w:r w:rsidRPr="004740AC">
        <w:rPr>
          <w:b w:val="0"/>
          <w:sz w:val="28"/>
          <w:szCs w:val="28"/>
          <w:lang w:val="en-US"/>
        </w:rPr>
        <w:t>V</w:t>
      </w:r>
      <w:r>
        <w:rPr>
          <w:b w:val="0"/>
          <w:sz w:val="28"/>
          <w:szCs w:val="28"/>
          <w:lang w:val="en-US"/>
        </w:rPr>
        <w:t>.</w:t>
      </w:r>
      <w:r w:rsidRPr="004740AC">
        <w:rPr>
          <w:b w:val="0"/>
          <w:sz w:val="28"/>
          <w:szCs w:val="28"/>
          <w:lang w:val="en-US"/>
        </w:rPr>
        <w:t>F</w:t>
      </w:r>
      <w:r>
        <w:rPr>
          <w:b w:val="0"/>
          <w:sz w:val="28"/>
          <w:szCs w:val="28"/>
          <w:lang w:val="en-US"/>
        </w:rPr>
        <w:t>. et al.</w:t>
      </w:r>
      <w:r w:rsidRPr="004740AC">
        <w:rPr>
          <w:b w:val="0"/>
          <w:sz w:val="28"/>
          <w:szCs w:val="28"/>
          <w:lang w:val="en-US"/>
        </w:rPr>
        <w:t xml:space="preserve"> </w:t>
      </w:r>
      <w:r w:rsidRPr="00517A9E">
        <w:rPr>
          <w:b w:val="0"/>
          <w:sz w:val="28"/>
          <w:szCs w:val="28"/>
          <w:lang w:val="en-US"/>
        </w:rPr>
        <w:t>Alzheimer's disease: risk factors and potentially protective measures</w:t>
      </w:r>
      <w:r>
        <w:rPr>
          <w:b w:val="0"/>
          <w:sz w:val="28"/>
          <w:szCs w:val="28"/>
          <w:lang w:val="en-US"/>
        </w:rPr>
        <w:t xml:space="preserve"> //</w:t>
      </w:r>
      <w:r w:rsidRPr="00517A9E">
        <w:rPr>
          <w:b w:val="0"/>
          <w:sz w:val="28"/>
          <w:szCs w:val="28"/>
          <w:lang w:val="en-US"/>
        </w:rPr>
        <w:t xml:space="preserve"> J Biomed Sci. </w:t>
      </w:r>
      <w:r>
        <w:rPr>
          <w:b w:val="0"/>
          <w:sz w:val="28"/>
          <w:szCs w:val="28"/>
          <w:lang w:val="en-US"/>
        </w:rPr>
        <w:t xml:space="preserve">– </w:t>
      </w:r>
      <w:r w:rsidRPr="00517A9E">
        <w:rPr>
          <w:b w:val="0"/>
          <w:sz w:val="28"/>
          <w:szCs w:val="28"/>
          <w:lang w:val="en-US"/>
        </w:rPr>
        <w:t>2019</w:t>
      </w:r>
      <w:r>
        <w:rPr>
          <w:b w:val="0"/>
          <w:sz w:val="28"/>
          <w:szCs w:val="28"/>
          <w:lang w:val="en-US"/>
        </w:rPr>
        <w:t xml:space="preserve">. – Vol. </w:t>
      </w:r>
      <w:r w:rsidRPr="00517A9E">
        <w:rPr>
          <w:b w:val="0"/>
          <w:sz w:val="28"/>
          <w:szCs w:val="28"/>
          <w:lang w:val="en-US"/>
        </w:rPr>
        <w:t>26</w:t>
      </w:r>
      <w:r>
        <w:rPr>
          <w:b w:val="0"/>
          <w:sz w:val="28"/>
          <w:szCs w:val="28"/>
          <w:lang w:val="en-US"/>
        </w:rPr>
        <w:t xml:space="preserve">, Issue </w:t>
      </w:r>
      <w:r w:rsidRPr="00517A9E">
        <w:rPr>
          <w:b w:val="0"/>
          <w:sz w:val="28"/>
          <w:szCs w:val="28"/>
          <w:lang w:val="en-US"/>
        </w:rPr>
        <w:t>1</w:t>
      </w:r>
      <w:r>
        <w:rPr>
          <w:b w:val="0"/>
          <w:sz w:val="28"/>
          <w:szCs w:val="28"/>
          <w:lang w:val="en-US"/>
        </w:rPr>
        <w:t xml:space="preserve">. – P. </w:t>
      </w:r>
      <w:r w:rsidRPr="00517A9E">
        <w:rPr>
          <w:b w:val="0"/>
          <w:sz w:val="28"/>
          <w:szCs w:val="28"/>
          <w:lang w:val="en-US"/>
        </w:rPr>
        <w:t>33</w:t>
      </w:r>
      <w:r>
        <w:rPr>
          <w:b w:val="0"/>
          <w:sz w:val="28"/>
          <w:szCs w:val="28"/>
          <w:lang w:val="en-US"/>
        </w:rPr>
        <w:t>-1-33-11</w:t>
      </w:r>
    </w:p>
    <w:p w14:paraId="0C211F9A" w14:textId="77777777" w:rsidR="00467437" w:rsidRPr="002D2F49" w:rsidRDefault="00467437" w:rsidP="00BE4283">
      <w:pPr>
        <w:pStyle w:val="1"/>
        <w:shd w:val="clear" w:color="auto" w:fill="FFFFFF"/>
        <w:tabs>
          <w:tab w:val="left" w:pos="993"/>
        </w:tabs>
        <w:spacing w:before="0" w:beforeAutospacing="0" w:after="0" w:afterAutospacing="0"/>
        <w:ind w:firstLine="709"/>
        <w:jc w:val="both"/>
        <w:rPr>
          <w:b w:val="0"/>
          <w:sz w:val="28"/>
          <w:szCs w:val="28"/>
          <w:lang w:val="en-US"/>
        </w:rPr>
      </w:pPr>
      <w:r w:rsidRPr="00517A9E">
        <w:rPr>
          <w:b w:val="0"/>
          <w:sz w:val="28"/>
          <w:szCs w:val="28"/>
          <w:lang w:val="en-US"/>
        </w:rPr>
        <w:t>6 A</w:t>
      </w:r>
      <w:r>
        <w:rPr>
          <w:b w:val="0"/>
          <w:sz w:val="28"/>
          <w:szCs w:val="28"/>
          <w:lang w:val="en-US"/>
        </w:rPr>
        <w:t xml:space="preserve">rmstrong </w:t>
      </w:r>
      <w:r w:rsidRPr="00517A9E">
        <w:rPr>
          <w:b w:val="0"/>
          <w:sz w:val="28"/>
          <w:szCs w:val="28"/>
          <w:lang w:val="en-US"/>
        </w:rPr>
        <w:t>R</w:t>
      </w:r>
      <w:r>
        <w:rPr>
          <w:b w:val="0"/>
          <w:sz w:val="28"/>
          <w:szCs w:val="28"/>
          <w:lang w:val="en-US"/>
        </w:rPr>
        <w:t>.</w:t>
      </w:r>
      <w:r w:rsidRPr="00517A9E">
        <w:rPr>
          <w:b w:val="0"/>
          <w:sz w:val="28"/>
          <w:szCs w:val="28"/>
          <w:lang w:val="en-US"/>
        </w:rPr>
        <w:t>A. Risk factors for Alzheimer's disease</w:t>
      </w:r>
      <w:r>
        <w:rPr>
          <w:b w:val="0"/>
          <w:sz w:val="28"/>
          <w:szCs w:val="28"/>
          <w:lang w:val="en-US"/>
        </w:rPr>
        <w:t xml:space="preserve"> //</w:t>
      </w:r>
      <w:r w:rsidRPr="00517A9E">
        <w:rPr>
          <w:b w:val="0"/>
          <w:sz w:val="28"/>
          <w:szCs w:val="28"/>
          <w:lang w:val="en-US"/>
        </w:rPr>
        <w:t xml:space="preserve"> </w:t>
      </w:r>
      <w:r w:rsidRPr="002D2F49">
        <w:rPr>
          <w:b w:val="0"/>
          <w:sz w:val="28"/>
          <w:szCs w:val="28"/>
          <w:lang w:val="en-US"/>
        </w:rPr>
        <w:t xml:space="preserve">Folia Neuropathol. </w:t>
      </w:r>
      <w:r>
        <w:rPr>
          <w:b w:val="0"/>
          <w:sz w:val="28"/>
          <w:szCs w:val="28"/>
          <w:lang w:val="en-US"/>
        </w:rPr>
        <w:t xml:space="preserve">– </w:t>
      </w:r>
      <w:r w:rsidRPr="002D2F49">
        <w:rPr>
          <w:b w:val="0"/>
          <w:sz w:val="28"/>
          <w:szCs w:val="28"/>
          <w:lang w:val="en-US"/>
        </w:rPr>
        <w:t>2019</w:t>
      </w:r>
      <w:r>
        <w:rPr>
          <w:b w:val="0"/>
          <w:sz w:val="28"/>
          <w:szCs w:val="28"/>
          <w:lang w:val="en-US"/>
        </w:rPr>
        <w:t xml:space="preserve">. – Vol. </w:t>
      </w:r>
      <w:r w:rsidRPr="002D2F49">
        <w:rPr>
          <w:b w:val="0"/>
          <w:sz w:val="28"/>
          <w:szCs w:val="28"/>
          <w:lang w:val="en-US"/>
        </w:rPr>
        <w:t>57</w:t>
      </w:r>
      <w:r>
        <w:rPr>
          <w:b w:val="0"/>
          <w:sz w:val="28"/>
          <w:szCs w:val="28"/>
          <w:lang w:val="en-US"/>
        </w:rPr>
        <w:t xml:space="preserve">, Issue </w:t>
      </w:r>
      <w:r w:rsidRPr="002D2F49">
        <w:rPr>
          <w:b w:val="0"/>
          <w:sz w:val="28"/>
          <w:szCs w:val="28"/>
          <w:lang w:val="en-US"/>
        </w:rPr>
        <w:t>2</w:t>
      </w:r>
      <w:r>
        <w:rPr>
          <w:b w:val="0"/>
          <w:sz w:val="28"/>
          <w:szCs w:val="28"/>
          <w:lang w:val="en-US"/>
        </w:rPr>
        <w:t xml:space="preserve">. – P. </w:t>
      </w:r>
      <w:r w:rsidRPr="002D2F49">
        <w:rPr>
          <w:b w:val="0"/>
          <w:sz w:val="28"/>
          <w:szCs w:val="28"/>
          <w:lang w:val="en-US"/>
        </w:rPr>
        <w:t>87-105</w:t>
      </w:r>
      <w:r>
        <w:rPr>
          <w:b w:val="0"/>
          <w:sz w:val="28"/>
          <w:szCs w:val="28"/>
          <w:lang w:val="en-US"/>
        </w:rPr>
        <w:t>.</w:t>
      </w:r>
    </w:p>
    <w:p w14:paraId="0C211F9B" w14:textId="77777777" w:rsidR="00467437" w:rsidRPr="00F556A6" w:rsidRDefault="00467437" w:rsidP="00BE4283">
      <w:pPr>
        <w:pStyle w:val="1"/>
        <w:shd w:val="clear" w:color="auto" w:fill="FFFFFF"/>
        <w:tabs>
          <w:tab w:val="left" w:pos="993"/>
        </w:tabs>
        <w:spacing w:before="0" w:beforeAutospacing="0" w:after="0" w:afterAutospacing="0"/>
        <w:ind w:firstLine="709"/>
        <w:jc w:val="both"/>
        <w:rPr>
          <w:b w:val="0"/>
          <w:sz w:val="28"/>
          <w:szCs w:val="28"/>
          <w:lang w:val="en-US"/>
        </w:rPr>
      </w:pPr>
      <w:r w:rsidRPr="004740AC">
        <w:rPr>
          <w:b w:val="0"/>
          <w:sz w:val="28"/>
          <w:szCs w:val="28"/>
          <w:lang w:val="en-US"/>
        </w:rPr>
        <w:t>7 Crous-Bou M</w:t>
      </w:r>
      <w:r>
        <w:rPr>
          <w:b w:val="0"/>
          <w:sz w:val="28"/>
          <w:szCs w:val="28"/>
          <w:lang w:val="en-US"/>
        </w:rPr>
        <w:t>.</w:t>
      </w:r>
      <w:r w:rsidRPr="004740AC">
        <w:rPr>
          <w:b w:val="0"/>
          <w:sz w:val="28"/>
          <w:szCs w:val="28"/>
          <w:lang w:val="en-US"/>
        </w:rPr>
        <w:t>, Minguillón C</w:t>
      </w:r>
      <w:r>
        <w:rPr>
          <w:b w:val="0"/>
          <w:sz w:val="28"/>
          <w:szCs w:val="28"/>
          <w:lang w:val="en-US"/>
        </w:rPr>
        <w:t>.</w:t>
      </w:r>
      <w:r w:rsidRPr="004740AC">
        <w:rPr>
          <w:b w:val="0"/>
          <w:sz w:val="28"/>
          <w:szCs w:val="28"/>
          <w:lang w:val="en-US"/>
        </w:rPr>
        <w:t>, Gramunt N</w:t>
      </w:r>
      <w:r>
        <w:rPr>
          <w:b w:val="0"/>
          <w:sz w:val="28"/>
          <w:szCs w:val="28"/>
          <w:lang w:val="en-US"/>
        </w:rPr>
        <w:t>. et al.</w:t>
      </w:r>
      <w:r w:rsidRPr="004740AC">
        <w:rPr>
          <w:b w:val="0"/>
          <w:sz w:val="28"/>
          <w:szCs w:val="28"/>
          <w:lang w:val="en-US"/>
        </w:rPr>
        <w:t xml:space="preserve"> Alzheimer's disease prevention: from risk factors to early intervention</w:t>
      </w:r>
      <w:r>
        <w:rPr>
          <w:b w:val="0"/>
          <w:sz w:val="28"/>
          <w:szCs w:val="28"/>
          <w:lang w:val="en-US"/>
        </w:rPr>
        <w:t xml:space="preserve"> //</w:t>
      </w:r>
      <w:r w:rsidRPr="004740AC">
        <w:rPr>
          <w:b w:val="0"/>
          <w:sz w:val="28"/>
          <w:szCs w:val="28"/>
          <w:lang w:val="en-US"/>
        </w:rPr>
        <w:t xml:space="preserve"> Alzheimers Res Ther. </w:t>
      </w:r>
      <w:r w:rsidRPr="00BC3842">
        <w:rPr>
          <w:b w:val="0"/>
          <w:sz w:val="28"/>
          <w:szCs w:val="28"/>
          <w:lang w:val="en-US"/>
        </w:rPr>
        <w:t xml:space="preserve">– </w:t>
      </w:r>
      <w:r w:rsidRPr="004740AC">
        <w:rPr>
          <w:b w:val="0"/>
          <w:sz w:val="28"/>
          <w:szCs w:val="28"/>
          <w:lang w:val="en-US"/>
        </w:rPr>
        <w:t>2017</w:t>
      </w:r>
      <w:r>
        <w:rPr>
          <w:b w:val="0"/>
          <w:sz w:val="28"/>
          <w:szCs w:val="28"/>
          <w:lang w:val="en-US"/>
        </w:rPr>
        <w:t xml:space="preserve">. – Vol. </w:t>
      </w:r>
      <w:r w:rsidRPr="004740AC">
        <w:rPr>
          <w:b w:val="0"/>
          <w:sz w:val="28"/>
          <w:szCs w:val="28"/>
          <w:lang w:val="en-US"/>
        </w:rPr>
        <w:t>9</w:t>
      </w:r>
      <w:r>
        <w:rPr>
          <w:b w:val="0"/>
          <w:sz w:val="28"/>
          <w:szCs w:val="28"/>
          <w:lang w:val="en-US"/>
        </w:rPr>
        <w:t xml:space="preserve">, Issue </w:t>
      </w:r>
      <w:r w:rsidRPr="004740AC">
        <w:rPr>
          <w:b w:val="0"/>
          <w:sz w:val="28"/>
          <w:szCs w:val="28"/>
          <w:lang w:val="en-US"/>
        </w:rPr>
        <w:t>1</w:t>
      </w:r>
      <w:r>
        <w:rPr>
          <w:b w:val="0"/>
          <w:sz w:val="28"/>
          <w:szCs w:val="28"/>
          <w:lang w:val="en-US"/>
        </w:rPr>
        <w:t xml:space="preserve">. – P. </w:t>
      </w:r>
      <w:r w:rsidRPr="004740AC">
        <w:rPr>
          <w:b w:val="0"/>
          <w:sz w:val="28"/>
          <w:szCs w:val="28"/>
          <w:lang w:val="en-US"/>
        </w:rPr>
        <w:t>71</w:t>
      </w:r>
      <w:r>
        <w:rPr>
          <w:b w:val="0"/>
          <w:sz w:val="28"/>
          <w:szCs w:val="28"/>
          <w:lang w:val="en-US"/>
        </w:rPr>
        <w:t>-1-71-9</w:t>
      </w:r>
      <w:r w:rsidRPr="004740AC">
        <w:rPr>
          <w:b w:val="0"/>
          <w:sz w:val="28"/>
          <w:szCs w:val="28"/>
          <w:lang w:val="en-US"/>
        </w:rPr>
        <w:t>.</w:t>
      </w:r>
    </w:p>
    <w:p w14:paraId="0C211F9C" w14:textId="77777777" w:rsidR="00467437" w:rsidRPr="00F556A6" w:rsidRDefault="00467437" w:rsidP="00BE4283">
      <w:pPr>
        <w:spacing w:after="0" w:line="240" w:lineRule="auto"/>
        <w:jc w:val="both"/>
        <w:rPr>
          <w:rFonts w:ascii="Times New Roman" w:hAnsi="Times New Roman" w:cs="Times New Roman"/>
          <w:b/>
          <w:sz w:val="28"/>
          <w:szCs w:val="28"/>
          <w:lang w:val="en-US"/>
        </w:rPr>
      </w:pPr>
      <w:r>
        <w:rPr>
          <w:b/>
          <w:sz w:val="28"/>
          <w:szCs w:val="28"/>
          <w:lang w:val="en-US"/>
        </w:rPr>
        <w:t xml:space="preserve">           </w:t>
      </w:r>
      <w:r w:rsidRPr="00467437">
        <w:rPr>
          <w:rFonts w:ascii="Times New Roman" w:hAnsi="Times New Roman" w:cs="Times New Roman"/>
          <w:b/>
          <w:sz w:val="28"/>
          <w:szCs w:val="28"/>
          <w:lang w:val="en-US"/>
        </w:rPr>
        <w:t xml:space="preserve"> </w:t>
      </w:r>
      <w:r w:rsidRPr="00467437">
        <w:rPr>
          <w:rFonts w:ascii="Times New Roman" w:hAnsi="Times New Roman" w:cs="Times New Roman"/>
          <w:sz w:val="28"/>
          <w:szCs w:val="28"/>
          <w:lang w:val="en-US"/>
        </w:rPr>
        <w:t>8</w:t>
      </w:r>
      <w:r w:rsidRPr="00467437">
        <w:rPr>
          <w:b/>
          <w:sz w:val="28"/>
          <w:szCs w:val="28"/>
          <w:lang w:val="en-US"/>
        </w:rPr>
        <w:t xml:space="preserve">    </w:t>
      </w:r>
      <w:r w:rsidRPr="00467437">
        <w:rPr>
          <w:rFonts w:ascii="Times New Roman" w:hAnsi="Times New Roman" w:cs="Times New Roman"/>
          <w:color w:val="1B1B1B"/>
          <w:sz w:val="28"/>
          <w:szCs w:val="28"/>
          <w:shd w:val="clear" w:color="auto" w:fill="FFFFFF"/>
          <w:lang w:val="en-US"/>
        </w:rPr>
        <w:t>Zholdasbekova G, Kaiyrlykyzy A, Kassenova A, Alzhanova D, Klyuev D, Askarova S. ApoE Gene Polymorphism and Clinical, Biochemical, and Sociodemographic Characteristics of Alzheimer's Disease Patients From Northern and Southern Regions of Kazakhstan. Int J Geriatr Psychiatry. 2024 Nov;</w:t>
      </w:r>
      <w:r w:rsidRPr="00F556A6">
        <w:rPr>
          <w:rFonts w:ascii="Times New Roman" w:hAnsi="Times New Roman" w:cs="Times New Roman"/>
          <w:color w:val="1B1B1B"/>
          <w:sz w:val="28"/>
          <w:szCs w:val="28"/>
          <w:shd w:val="clear" w:color="auto" w:fill="FFFFFF"/>
          <w:lang w:val="en-US"/>
        </w:rPr>
        <w:t xml:space="preserve"> </w:t>
      </w:r>
      <w:r w:rsidRPr="00467437">
        <w:rPr>
          <w:rFonts w:ascii="Times New Roman" w:hAnsi="Times New Roman" w:cs="Times New Roman"/>
          <w:color w:val="1B1B1B"/>
          <w:sz w:val="28"/>
          <w:szCs w:val="28"/>
          <w:shd w:val="clear" w:color="auto" w:fill="FFFFFF"/>
          <w:lang w:val="en-US"/>
        </w:rPr>
        <w:t>39(11):e70019. doi: 10.1002/gps.70019. PMID: 39568323; PMCID: PMC11579630.</w:t>
      </w:r>
    </w:p>
    <w:p w14:paraId="0C211FA8" w14:textId="1BD9055B" w:rsidR="002A0E83" w:rsidRPr="00395796" w:rsidRDefault="00467437" w:rsidP="00395796">
      <w:pPr>
        <w:pStyle w:val="1"/>
        <w:shd w:val="clear" w:color="auto" w:fill="FFFFFF"/>
        <w:spacing w:before="0" w:beforeAutospacing="0" w:after="0" w:afterAutospacing="0"/>
        <w:ind w:firstLine="709"/>
        <w:jc w:val="both"/>
        <w:rPr>
          <w:sz w:val="28"/>
          <w:szCs w:val="28"/>
          <w:lang w:val="en-US"/>
        </w:rPr>
      </w:pPr>
      <w:r w:rsidRPr="00467437">
        <w:rPr>
          <w:b w:val="0"/>
          <w:sz w:val="28"/>
          <w:szCs w:val="28"/>
          <w:lang w:val="en-US"/>
        </w:rPr>
        <w:t>9</w:t>
      </w:r>
      <w:r w:rsidRPr="004740AC">
        <w:rPr>
          <w:b w:val="0"/>
          <w:sz w:val="28"/>
          <w:szCs w:val="28"/>
          <w:lang w:val="en-US"/>
        </w:rPr>
        <w:t xml:space="preserve"> </w:t>
      </w:r>
      <w:r w:rsidRPr="00D37A60">
        <w:rPr>
          <w:b w:val="0"/>
          <w:sz w:val="28"/>
          <w:szCs w:val="28"/>
          <w:lang w:val="en-US"/>
        </w:rPr>
        <w:t xml:space="preserve">Criteria for Diagnosis and Staging of Alzheimer's Disease </w:t>
      </w:r>
      <w:r>
        <w:rPr>
          <w:b w:val="0"/>
          <w:sz w:val="28"/>
          <w:szCs w:val="28"/>
          <w:lang w:val="en-US"/>
        </w:rPr>
        <w:t xml:space="preserve">// </w:t>
      </w:r>
      <w:r w:rsidRPr="004740AC">
        <w:rPr>
          <w:b w:val="0"/>
          <w:sz w:val="28"/>
          <w:szCs w:val="28"/>
          <w:lang w:val="en-US"/>
        </w:rPr>
        <w:t>https://www.alz.org/research/for_researchers/diagnostic-criteria</w:t>
      </w:r>
      <w:r w:rsidR="00D46D81">
        <w:rPr>
          <w:b w:val="0"/>
          <w:sz w:val="28"/>
          <w:szCs w:val="28"/>
          <w:lang w:val="en-US"/>
        </w:rPr>
        <w:t>. 10.11.2024</w:t>
      </w:r>
      <w:bookmarkStart w:id="1" w:name="_GoBack"/>
      <w:bookmarkEnd w:id="1"/>
    </w:p>
    <w:sectPr w:rsidR="002A0E83" w:rsidRPr="00395796" w:rsidSect="00877AFB">
      <w:pgSz w:w="11906" w:h="16838"/>
      <w:pgMar w:top="1134"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88C"/>
    <w:multiLevelType w:val="hybridMultilevel"/>
    <w:tmpl w:val="4C90A94E"/>
    <w:lvl w:ilvl="0" w:tplc="87507B1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D1893"/>
    <w:multiLevelType w:val="hybridMultilevel"/>
    <w:tmpl w:val="AA1A1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27B14"/>
    <w:multiLevelType w:val="hybridMultilevel"/>
    <w:tmpl w:val="33328F7C"/>
    <w:lvl w:ilvl="0" w:tplc="490E01B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 w15:restartNumberingAfterBreak="0">
    <w:nsid w:val="297A6C58"/>
    <w:multiLevelType w:val="hybridMultilevel"/>
    <w:tmpl w:val="63ECF34C"/>
    <w:lvl w:ilvl="0" w:tplc="20F84AF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308C38A2"/>
    <w:multiLevelType w:val="hybridMultilevel"/>
    <w:tmpl w:val="6D76C2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9D4303"/>
    <w:multiLevelType w:val="hybridMultilevel"/>
    <w:tmpl w:val="8F7E3B82"/>
    <w:lvl w:ilvl="0" w:tplc="999A3F6C">
      <w:start w:val="6"/>
      <w:numFmt w:val="decimal"/>
      <w:lvlText w:val="%1."/>
      <w:lvlJc w:val="left"/>
      <w:pPr>
        <w:ind w:left="720" w:hanging="360"/>
      </w:pPr>
      <w:rPr>
        <w:rFonts w:ascii="Times New Roman" w:hAnsi="Times New Roman" w:cs="Times New Roman"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C20F09"/>
    <w:multiLevelType w:val="multilevel"/>
    <w:tmpl w:val="1A20B19C"/>
    <w:lvl w:ilvl="0">
      <w:start w:val="3"/>
      <w:numFmt w:val="decimal"/>
      <w:lvlText w:val="%1"/>
      <w:lvlJc w:val="left"/>
      <w:pPr>
        <w:ind w:left="360" w:hanging="360"/>
      </w:pPr>
      <w:rPr>
        <w:rFonts w:hint="default"/>
      </w:rPr>
    </w:lvl>
    <w:lvl w:ilvl="1">
      <w:start w:val="3"/>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7" w15:restartNumberingAfterBreak="0">
    <w:nsid w:val="5E250CA4"/>
    <w:multiLevelType w:val="hybridMultilevel"/>
    <w:tmpl w:val="84DC6C30"/>
    <w:lvl w:ilvl="0" w:tplc="0A8843BA">
      <w:start w:val="1"/>
      <w:numFmt w:val="decimal"/>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607A67F0"/>
    <w:multiLevelType w:val="hybridMultilevel"/>
    <w:tmpl w:val="C4462680"/>
    <w:lvl w:ilvl="0" w:tplc="5AA26D7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4600C0"/>
    <w:multiLevelType w:val="hybridMultilevel"/>
    <w:tmpl w:val="F70C4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8A4ED3"/>
    <w:multiLevelType w:val="hybridMultilevel"/>
    <w:tmpl w:val="8800E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3"/>
  </w:num>
  <w:num w:numId="6">
    <w:abstractNumId w:val="10"/>
  </w:num>
  <w:num w:numId="7">
    <w:abstractNumId w:val="2"/>
  </w:num>
  <w:num w:numId="8">
    <w:abstractNumId w:val="9"/>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F7115"/>
    <w:rsid w:val="00021320"/>
    <w:rsid w:val="00066227"/>
    <w:rsid w:val="00080317"/>
    <w:rsid w:val="00100319"/>
    <w:rsid w:val="00107307"/>
    <w:rsid w:val="00115005"/>
    <w:rsid w:val="0012518A"/>
    <w:rsid w:val="001326B7"/>
    <w:rsid w:val="0017634A"/>
    <w:rsid w:val="00202A92"/>
    <w:rsid w:val="00262D6D"/>
    <w:rsid w:val="00271781"/>
    <w:rsid w:val="002732B0"/>
    <w:rsid w:val="00284E6D"/>
    <w:rsid w:val="002A0E83"/>
    <w:rsid w:val="0030032A"/>
    <w:rsid w:val="00332378"/>
    <w:rsid w:val="00395796"/>
    <w:rsid w:val="003A516C"/>
    <w:rsid w:val="003F3CC5"/>
    <w:rsid w:val="00417E7E"/>
    <w:rsid w:val="004266CC"/>
    <w:rsid w:val="00441186"/>
    <w:rsid w:val="00467437"/>
    <w:rsid w:val="00490A43"/>
    <w:rsid w:val="004D3AEF"/>
    <w:rsid w:val="00553A6C"/>
    <w:rsid w:val="005816F8"/>
    <w:rsid w:val="005C453E"/>
    <w:rsid w:val="006051EB"/>
    <w:rsid w:val="00646EC7"/>
    <w:rsid w:val="006C22FD"/>
    <w:rsid w:val="006C2B38"/>
    <w:rsid w:val="006C3595"/>
    <w:rsid w:val="007921B3"/>
    <w:rsid w:val="007B4241"/>
    <w:rsid w:val="008612DF"/>
    <w:rsid w:val="0086289F"/>
    <w:rsid w:val="00877AFB"/>
    <w:rsid w:val="008C7291"/>
    <w:rsid w:val="008F01F8"/>
    <w:rsid w:val="008F40E4"/>
    <w:rsid w:val="009066EF"/>
    <w:rsid w:val="009273AF"/>
    <w:rsid w:val="009D3631"/>
    <w:rsid w:val="009E1D65"/>
    <w:rsid w:val="009E22C7"/>
    <w:rsid w:val="00A57A2B"/>
    <w:rsid w:val="00A64D5C"/>
    <w:rsid w:val="00A81EB8"/>
    <w:rsid w:val="00B03D04"/>
    <w:rsid w:val="00B207C3"/>
    <w:rsid w:val="00B74914"/>
    <w:rsid w:val="00BA6EA4"/>
    <w:rsid w:val="00BE4283"/>
    <w:rsid w:val="00C3137C"/>
    <w:rsid w:val="00C80A93"/>
    <w:rsid w:val="00C91F8C"/>
    <w:rsid w:val="00CD2CC6"/>
    <w:rsid w:val="00CE7519"/>
    <w:rsid w:val="00CF1E8C"/>
    <w:rsid w:val="00D2032B"/>
    <w:rsid w:val="00D279EF"/>
    <w:rsid w:val="00D46D81"/>
    <w:rsid w:val="00D753BD"/>
    <w:rsid w:val="00DA450D"/>
    <w:rsid w:val="00DB15EE"/>
    <w:rsid w:val="00EB483F"/>
    <w:rsid w:val="00ED4191"/>
    <w:rsid w:val="00ED611E"/>
    <w:rsid w:val="00EF434A"/>
    <w:rsid w:val="00F25856"/>
    <w:rsid w:val="00F30FDA"/>
    <w:rsid w:val="00F54FE4"/>
    <w:rsid w:val="00F556A6"/>
    <w:rsid w:val="00F8417D"/>
    <w:rsid w:val="00FC5DB2"/>
    <w:rsid w:val="00FF7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1F38"/>
  <w15:docId w15:val="{BFA0E7BE-D881-4BC5-A8F4-2E602D46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115"/>
  </w:style>
  <w:style w:type="paragraph" w:styleId="1">
    <w:name w:val="heading 1"/>
    <w:basedOn w:val="a"/>
    <w:link w:val="10"/>
    <w:uiPriority w:val="9"/>
    <w:qFormat/>
    <w:rsid w:val="00467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F7115"/>
    <w:pPr>
      <w:ind w:left="720"/>
      <w:contextualSpacing/>
    </w:pPr>
  </w:style>
  <w:style w:type="character" w:customStyle="1" w:styleId="y2iqfc">
    <w:name w:val="y2iqfc"/>
    <w:basedOn w:val="a0"/>
    <w:rsid w:val="00FF7115"/>
  </w:style>
  <w:style w:type="character" w:customStyle="1" w:styleId="a4">
    <w:name w:val="Абзац списка Знак"/>
    <w:link w:val="a3"/>
    <w:uiPriority w:val="34"/>
    <w:locked/>
    <w:rsid w:val="00FF7115"/>
  </w:style>
  <w:style w:type="character" w:customStyle="1" w:styleId="ezkurwreuab5ozgtqnkl">
    <w:name w:val="ezkurwreuab5ozgtqnkl"/>
    <w:basedOn w:val="a0"/>
    <w:rsid w:val="00ED611E"/>
  </w:style>
  <w:style w:type="paragraph" w:styleId="a5">
    <w:name w:val="Normal (Web)"/>
    <w:basedOn w:val="a"/>
    <w:uiPriority w:val="99"/>
    <w:semiHidden/>
    <w:unhideWhenUsed/>
    <w:rsid w:val="00861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NoteBibliography">
    <w:name w:val="EndNote Bibliography"/>
    <w:basedOn w:val="a"/>
    <w:link w:val="EndNoteBibliography0"/>
    <w:rsid w:val="00A57A2B"/>
    <w:pPr>
      <w:spacing w:line="240" w:lineRule="auto"/>
      <w:jc w:val="both"/>
    </w:pPr>
    <w:rPr>
      <w:rFonts w:ascii="Calibri" w:eastAsiaTheme="minorEastAsia" w:hAnsi="Calibri" w:cs="Calibri"/>
      <w:noProof/>
      <w:lang w:val="en-US" w:eastAsia="ru-RU"/>
    </w:rPr>
  </w:style>
  <w:style w:type="character" w:customStyle="1" w:styleId="EndNoteBibliography0">
    <w:name w:val="EndNote Bibliography Знак"/>
    <w:basedOn w:val="a0"/>
    <w:link w:val="EndNoteBibliography"/>
    <w:rsid w:val="00A57A2B"/>
    <w:rPr>
      <w:rFonts w:ascii="Calibri" w:eastAsiaTheme="minorEastAsia" w:hAnsi="Calibri" w:cs="Calibri"/>
      <w:noProof/>
      <w:lang w:val="en-US" w:eastAsia="ru-RU"/>
    </w:rPr>
  </w:style>
  <w:style w:type="character" w:customStyle="1" w:styleId="10">
    <w:name w:val="Заголовок 1 Знак"/>
    <w:basedOn w:val="a0"/>
    <w:link w:val="1"/>
    <w:uiPriority w:val="9"/>
    <w:rsid w:val="00467437"/>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467437"/>
    <w:rPr>
      <w:color w:val="0000FF"/>
      <w:u w:val="single"/>
    </w:rPr>
  </w:style>
  <w:style w:type="paragraph" w:styleId="HTML">
    <w:name w:val="HTML Preformatted"/>
    <w:basedOn w:val="a"/>
    <w:link w:val="HTML0"/>
    <w:uiPriority w:val="99"/>
    <w:unhideWhenUsed/>
    <w:rsid w:val="008C7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C729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183">
      <w:bodyDiv w:val="1"/>
      <w:marLeft w:val="0"/>
      <w:marRight w:val="0"/>
      <w:marTop w:val="0"/>
      <w:marBottom w:val="0"/>
      <w:divBdr>
        <w:top w:val="none" w:sz="0" w:space="0" w:color="auto"/>
        <w:left w:val="none" w:sz="0" w:space="0" w:color="auto"/>
        <w:bottom w:val="none" w:sz="0" w:space="0" w:color="auto"/>
        <w:right w:val="none" w:sz="0" w:space="0" w:color="auto"/>
      </w:divBdr>
    </w:div>
    <w:div w:id="88162398">
      <w:bodyDiv w:val="1"/>
      <w:marLeft w:val="0"/>
      <w:marRight w:val="0"/>
      <w:marTop w:val="0"/>
      <w:marBottom w:val="0"/>
      <w:divBdr>
        <w:top w:val="none" w:sz="0" w:space="0" w:color="auto"/>
        <w:left w:val="none" w:sz="0" w:space="0" w:color="auto"/>
        <w:bottom w:val="none" w:sz="0" w:space="0" w:color="auto"/>
        <w:right w:val="none" w:sz="0" w:space="0" w:color="auto"/>
      </w:divBdr>
    </w:div>
    <w:div w:id="253826398">
      <w:bodyDiv w:val="1"/>
      <w:marLeft w:val="0"/>
      <w:marRight w:val="0"/>
      <w:marTop w:val="0"/>
      <w:marBottom w:val="0"/>
      <w:divBdr>
        <w:top w:val="none" w:sz="0" w:space="0" w:color="auto"/>
        <w:left w:val="none" w:sz="0" w:space="0" w:color="auto"/>
        <w:bottom w:val="none" w:sz="0" w:space="0" w:color="auto"/>
        <w:right w:val="none" w:sz="0" w:space="0" w:color="auto"/>
      </w:divBdr>
    </w:div>
    <w:div w:id="289672004">
      <w:bodyDiv w:val="1"/>
      <w:marLeft w:val="0"/>
      <w:marRight w:val="0"/>
      <w:marTop w:val="0"/>
      <w:marBottom w:val="0"/>
      <w:divBdr>
        <w:top w:val="none" w:sz="0" w:space="0" w:color="auto"/>
        <w:left w:val="none" w:sz="0" w:space="0" w:color="auto"/>
        <w:bottom w:val="none" w:sz="0" w:space="0" w:color="auto"/>
        <w:right w:val="none" w:sz="0" w:space="0" w:color="auto"/>
      </w:divBdr>
    </w:div>
    <w:div w:id="301228321">
      <w:bodyDiv w:val="1"/>
      <w:marLeft w:val="0"/>
      <w:marRight w:val="0"/>
      <w:marTop w:val="0"/>
      <w:marBottom w:val="0"/>
      <w:divBdr>
        <w:top w:val="none" w:sz="0" w:space="0" w:color="auto"/>
        <w:left w:val="none" w:sz="0" w:space="0" w:color="auto"/>
        <w:bottom w:val="none" w:sz="0" w:space="0" w:color="auto"/>
        <w:right w:val="none" w:sz="0" w:space="0" w:color="auto"/>
      </w:divBdr>
    </w:div>
    <w:div w:id="356001590">
      <w:bodyDiv w:val="1"/>
      <w:marLeft w:val="0"/>
      <w:marRight w:val="0"/>
      <w:marTop w:val="0"/>
      <w:marBottom w:val="0"/>
      <w:divBdr>
        <w:top w:val="none" w:sz="0" w:space="0" w:color="auto"/>
        <w:left w:val="none" w:sz="0" w:space="0" w:color="auto"/>
        <w:bottom w:val="none" w:sz="0" w:space="0" w:color="auto"/>
        <w:right w:val="none" w:sz="0" w:space="0" w:color="auto"/>
      </w:divBdr>
    </w:div>
    <w:div w:id="448672736">
      <w:bodyDiv w:val="1"/>
      <w:marLeft w:val="0"/>
      <w:marRight w:val="0"/>
      <w:marTop w:val="0"/>
      <w:marBottom w:val="0"/>
      <w:divBdr>
        <w:top w:val="none" w:sz="0" w:space="0" w:color="auto"/>
        <w:left w:val="none" w:sz="0" w:space="0" w:color="auto"/>
        <w:bottom w:val="none" w:sz="0" w:space="0" w:color="auto"/>
        <w:right w:val="none" w:sz="0" w:space="0" w:color="auto"/>
      </w:divBdr>
    </w:div>
    <w:div w:id="553129192">
      <w:bodyDiv w:val="1"/>
      <w:marLeft w:val="0"/>
      <w:marRight w:val="0"/>
      <w:marTop w:val="0"/>
      <w:marBottom w:val="0"/>
      <w:divBdr>
        <w:top w:val="none" w:sz="0" w:space="0" w:color="auto"/>
        <w:left w:val="none" w:sz="0" w:space="0" w:color="auto"/>
        <w:bottom w:val="none" w:sz="0" w:space="0" w:color="auto"/>
        <w:right w:val="none" w:sz="0" w:space="0" w:color="auto"/>
      </w:divBdr>
    </w:div>
    <w:div w:id="855001096">
      <w:bodyDiv w:val="1"/>
      <w:marLeft w:val="0"/>
      <w:marRight w:val="0"/>
      <w:marTop w:val="0"/>
      <w:marBottom w:val="0"/>
      <w:divBdr>
        <w:top w:val="none" w:sz="0" w:space="0" w:color="auto"/>
        <w:left w:val="none" w:sz="0" w:space="0" w:color="auto"/>
        <w:bottom w:val="none" w:sz="0" w:space="0" w:color="auto"/>
        <w:right w:val="none" w:sz="0" w:space="0" w:color="auto"/>
      </w:divBdr>
    </w:div>
    <w:div w:id="1212377452">
      <w:bodyDiv w:val="1"/>
      <w:marLeft w:val="0"/>
      <w:marRight w:val="0"/>
      <w:marTop w:val="0"/>
      <w:marBottom w:val="0"/>
      <w:divBdr>
        <w:top w:val="none" w:sz="0" w:space="0" w:color="auto"/>
        <w:left w:val="none" w:sz="0" w:space="0" w:color="auto"/>
        <w:bottom w:val="none" w:sz="0" w:space="0" w:color="auto"/>
        <w:right w:val="none" w:sz="0" w:space="0" w:color="auto"/>
      </w:divBdr>
    </w:div>
    <w:div w:id="1220283482">
      <w:bodyDiv w:val="1"/>
      <w:marLeft w:val="0"/>
      <w:marRight w:val="0"/>
      <w:marTop w:val="0"/>
      <w:marBottom w:val="0"/>
      <w:divBdr>
        <w:top w:val="none" w:sz="0" w:space="0" w:color="auto"/>
        <w:left w:val="none" w:sz="0" w:space="0" w:color="auto"/>
        <w:bottom w:val="none" w:sz="0" w:space="0" w:color="auto"/>
        <w:right w:val="none" w:sz="0" w:space="0" w:color="auto"/>
      </w:divBdr>
    </w:div>
    <w:div w:id="1369254051">
      <w:bodyDiv w:val="1"/>
      <w:marLeft w:val="0"/>
      <w:marRight w:val="0"/>
      <w:marTop w:val="0"/>
      <w:marBottom w:val="0"/>
      <w:divBdr>
        <w:top w:val="none" w:sz="0" w:space="0" w:color="auto"/>
        <w:left w:val="none" w:sz="0" w:space="0" w:color="auto"/>
        <w:bottom w:val="none" w:sz="0" w:space="0" w:color="auto"/>
        <w:right w:val="none" w:sz="0" w:space="0" w:color="auto"/>
      </w:divBdr>
    </w:div>
    <w:div w:id="1416434485">
      <w:bodyDiv w:val="1"/>
      <w:marLeft w:val="0"/>
      <w:marRight w:val="0"/>
      <w:marTop w:val="0"/>
      <w:marBottom w:val="0"/>
      <w:divBdr>
        <w:top w:val="none" w:sz="0" w:space="0" w:color="auto"/>
        <w:left w:val="none" w:sz="0" w:space="0" w:color="auto"/>
        <w:bottom w:val="none" w:sz="0" w:space="0" w:color="auto"/>
        <w:right w:val="none" w:sz="0" w:space="0" w:color="auto"/>
      </w:divBdr>
    </w:div>
    <w:div w:id="1478186637">
      <w:bodyDiv w:val="1"/>
      <w:marLeft w:val="0"/>
      <w:marRight w:val="0"/>
      <w:marTop w:val="0"/>
      <w:marBottom w:val="0"/>
      <w:divBdr>
        <w:top w:val="none" w:sz="0" w:space="0" w:color="auto"/>
        <w:left w:val="none" w:sz="0" w:space="0" w:color="auto"/>
        <w:bottom w:val="none" w:sz="0" w:space="0" w:color="auto"/>
        <w:right w:val="none" w:sz="0" w:space="0" w:color="auto"/>
      </w:divBdr>
    </w:div>
    <w:div w:id="1509176639">
      <w:bodyDiv w:val="1"/>
      <w:marLeft w:val="0"/>
      <w:marRight w:val="0"/>
      <w:marTop w:val="0"/>
      <w:marBottom w:val="0"/>
      <w:divBdr>
        <w:top w:val="none" w:sz="0" w:space="0" w:color="auto"/>
        <w:left w:val="none" w:sz="0" w:space="0" w:color="auto"/>
        <w:bottom w:val="none" w:sz="0" w:space="0" w:color="auto"/>
        <w:right w:val="none" w:sz="0" w:space="0" w:color="auto"/>
      </w:divBdr>
    </w:div>
    <w:div w:id="1565600932">
      <w:bodyDiv w:val="1"/>
      <w:marLeft w:val="0"/>
      <w:marRight w:val="0"/>
      <w:marTop w:val="0"/>
      <w:marBottom w:val="0"/>
      <w:divBdr>
        <w:top w:val="none" w:sz="0" w:space="0" w:color="auto"/>
        <w:left w:val="none" w:sz="0" w:space="0" w:color="auto"/>
        <w:bottom w:val="none" w:sz="0" w:space="0" w:color="auto"/>
        <w:right w:val="none" w:sz="0" w:space="0" w:color="auto"/>
      </w:divBdr>
    </w:div>
    <w:div w:id="1634402828">
      <w:bodyDiv w:val="1"/>
      <w:marLeft w:val="0"/>
      <w:marRight w:val="0"/>
      <w:marTop w:val="0"/>
      <w:marBottom w:val="0"/>
      <w:divBdr>
        <w:top w:val="none" w:sz="0" w:space="0" w:color="auto"/>
        <w:left w:val="none" w:sz="0" w:space="0" w:color="auto"/>
        <w:bottom w:val="none" w:sz="0" w:space="0" w:color="auto"/>
        <w:right w:val="none" w:sz="0" w:space="0" w:color="auto"/>
      </w:divBdr>
    </w:div>
    <w:div w:id="1703363730">
      <w:bodyDiv w:val="1"/>
      <w:marLeft w:val="0"/>
      <w:marRight w:val="0"/>
      <w:marTop w:val="0"/>
      <w:marBottom w:val="0"/>
      <w:divBdr>
        <w:top w:val="none" w:sz="0" w:space="0" w:color="auto"/>
        <w:left w:val="none" w:sz="0" w:space="0" w:color="auto"/>
        <w:bottom w:val="none" w:sz="0" w:space="0" w:color="auto"/>
        <w:right w:val="none" w:sz="0" w:space="0" w:color="auto"/>
      </w:divBdr>
    </w:div>
    <w:div w:id="1974870270">
      <w:bodyDiv w:val="1"/>
      <w:marLeft w:val="0"/>
      <w:marRight w:val="0"/>
      <w:marTop w:val="0"/>
      <w:marBottom w:val="0"/>
      <w:divBdr>
        <w:top w:val="none" w:sz="0" w:space="0" w:color="auto"/>
        <w:left w:val="none" w:sz="0" w:space="0" w:color="auto"/>
        <w:bottom w:val="none" w:sz="0" w:space="0" w:color="auto"/>
        <w:right w:val="none" w:sz="0" w:space="0" w:color="auto"/>
      </w:divBdr>
    </w:div>
    <w:div w:id="1982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zint.org/about/dementia-facts-figures/dementia-statisti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BFFDCE3-1610-482D-B255-5B00A575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3349</TotalTime>
  <Pages>7</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Стабаева Лейла</cp:lastModifiedBy>
  <cp:revision>41</cp:revision>
  <dcterms:created xsi:type="dcterms:W3CDTF">2024-06-26T07:57:00Z</dcterms:created>
  <dcterms:modified xsi:type="dcterms:W3CDTF">2025-02-12T09:51:00Z</dcterms:modified>
</cp:coreProperties>
</file>